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1C70" w14:textId="4B3AE909" w:rsidR="000D4EC1" w:rsidRDefault="00C10E55" w:rsidP="00D057EF">
      <w:pPr>
        <w:jc w:val="center"/>
        <w:rPr>
          <w:b/>
          <w:bCs/>
        </w:rPr>
      </w:pPr>
      <w:r w:rsidRPr="00D057EF">
        <w:rPr>
          <w:b/>
          <w:bCs/>
        </w:rPr>
        <w:t>Do Financial Performances of Turkish Energy Companies Reflect their Sustainability Performances?</w:t>
      </w:r>
    </w:p>
    <w:p w14:paraId="73D1BC28" w14:textId="77777777" w:rsidR="002C6904" w:rsidRPr="00AB53D5" w:rsidRDefault="002C6904" w:rsidP="002C6904">
      <w:pPr>
        <w:jc w:val="center"/>
        <w:rPr>
          <w:sz w:val="20"/>
          <w:szCs w:val="20"/>
          <w:vertAlign w:val="superscript"/>
        </w:rPr>
      </w:pPr>
      <w:proofErr w:type="spellStart"/>
      <w:r w:rsidRPr="00AB53D5">
        <w:rPr>
          <w:sz w:val="20"/>
          <w:szCs w:val="20"/>
        </w:rPr>
        <w:t>Oğulcan</w:t>
      </w:r>
      <w:proofErr w:type="spellEnd"/>
      <w:r w:rsidRPr="00AB53D5">
        <w:rPr>
          <w:sz w:val="20"/>
          <w:szCs w:val="20"/>
        </w:rPr>
        <w:t xml:space="preserve"> Durmuşoğlu</w:t>
      </w:r>
      <w:r>
        <w:rPr>
          <w:sz w:val="20"/>
          <w:szCs w:val="20"/>
          <w:vertAlign w:val="superscript"/>
        </w:rPr>
        <w:t>1, 2</w:t>
      </w:r>
      <w:r w:rsidRPr="00AB53D5">
        <w:rPr>
          <w:sz w:val="20"/>
          <w:szCs w:val="20"/>
        </w:rPr>
        <w:t>, M.Özgür Kayalıca</w:t>
      </w:r>
      <w:r>
        <w:rPr>
          <w:sz w:val="20"/>
          <w:szCs w:val="20"/>
          <w:vertAlign w:val="superscript"/>
        </w:rPr>
        <w:t>2</w:t>
      </w:r>
      <w:r w:rsidRPr="00AB53D5">
        <w:rPr>
          <w:sz w:val="20"/>
          <w:szCs w:val="20"/>
        </w:rPr>
        <w:t xml:space="preserve">, </w:t>
      </w:r>
      <w:proofErr w:type="spellStart"/>
      <w:r w:rsidRPr="00AB53D5">
        <w:rPr>
          <w:sz w:val="20"/>
          <w:szCs w:val="20"/>
        </w:rPr>
        <w:t>Gülgün</w:t>
      </w:r>
      <w:proofErr w:type="spellEnd"/>
      <w:r w:rsidRPr="00AB53D5">
        <w:rPr>
          <w:sz w:val="20"/>
          <w:szCs w:val="20"/>
        </w:rPr>
        <w:t xml:space="preserve"> Kayakutlu</w:t>
      </w:r>
      <w:r>
        <w:rPr>
          <w:sz w:val="20"/>
          <w:szCs w:val="20"/>
          <w:vertAlign w:val="superscript"/>
        </w:rPr>
        <w:t>2</w:t>
      </w:r>
      <w:r w:rsidRPr="00AB53D5">
        <w:rPr>
          <w:sz w:val="20"/>
          <w:szCs w:val="20"/>
        </w:rPr>
        <w:t xml:space="preserve">, </w:t>
      </w:r>
      <w:proofErr w:type="spellStart"/>
      <w:r w:rsidRPr="00AB53D5">
        <w:rPr>
          <w:sz w:val="20"/>
          <w:szCs w:val="20"/>
        </w:rPr>
        <w:t>Denizhan</w:t>
      </w:r>
      <w:proofErr w:type="spellEnd"/>
      <w:r w:rsidRPr="00AB53D5">
        <w:rPr>
          <w:sz w:val="20"/>
          <w:szCs w:val="20"/>
        </w:rPr>
        <w:t xml:space="preserve"> Güven</w:t>
      </w:r>
      <w:r>
        <w:rPr>
          <w:sz w:val="20"/>
          <w:szCs w:val="20"/>
          <w:vertAlign w:val="superscript"/>
        </w:rPr>
        <w:t>3</w:t>
      </w:r>
    </w:p>
    <w:p w14:paraId="502C3E12" w14:textId="77777777" w:rsidR="002C6904" w:rsidRDefault="002C6904" w:rsidP="002C6904">
      <w:pPr>
        <w:spacing w:line="240" w:lineRule="auto"/>
        <w:rPr>
          <w:sz w:val="20"/>
          <w:szCs w:val="20"/>
          <w:vertAlign w:val="superscript"/>
        </w:rPr>
      </w:pPr>
    </w:p>
    <w:p w14:paraId="4C5615F9" w14:textId="77777777" w:rsidR="002C6904" w:rsidRDefault="002C6904" w:rsidP="002C6904">
      <w:pPr>
        <w:spacing w:after="0" w:line="240" w:lineRule="auto"/>
        <w:rPr>
          <w:sz w:val="20"/>
          <w:szCs w:val="20"/>
          <w:vertAlign w:val="superscript"/>
        </w:rPr>
      </w:pPr>
    </w:p>
    <w:p w14:paraId="1D95DEB4" w14:textId="77777777" w:rsidR="002C6904" w:rsidRDefault="002C6904" w:rsidP="002C6904">
      <w:pPr>
        <w:spacing w:after="0" w:line="240" w:lineRule="auto"/>
        <w:rPr>
          <w:sz w:val="20"/>
          <w:szCs w:val="20"/>
        </w:rPr>
      </w:pPr>
      <w:r w:rsidRPr="00AB53D5">
        <w:rPr>
          <w:sz w:val="20"/>
          <w:szCs w:val="20"/>
          <w:vertAlign w:val="superscript"/>
        </w:rPr>
        <w:t>1</w:t>
      </w:r>
      <w:r w:rsidRPr="00AB53D5">
        <w:rPr>
          <w:sz w:val="20"/>
          <w:szCs w:val="20"/>
        </w:rPr>
        <w:t>Correspondin</w:t>
      </w:r>
      <w:r>
        <w:rPr>
          <w:sz w:val="20"/>
          <w:szCs w:val="20"/>
        </w:rPr>
        <w:t xml:space="preserve">g author, </w:t>
      </w:r>
      <w:r w:rsidRPr="00AB53D5">
        <w:rPr>
          <w:sz w:val="20"/>
          <w:szCs w:val="20"/>
        </w:rPr>
        <w:t>durmusogluo@itu.edu.tr</w:t>
      </w:r>
    </w:p>
    <w:p w14:paraId="198D72CA" w14:textId="77777777" w:rsidR="002C6904" w:rsidRDefault="002C6904" w:rsidP="002C6904">
      <w:pPr>
        <w:spacing w:after="0" w:line="240" w:lineRule="auto"/>
        <w:rPr>
          <w:sz w:val="20"/>
          <w:szCs w:val="20"/>
        </w:rPr>
      </w:pPr>
      <w:r>
        <w:rPr>
          <w:sz w:val="20"/>
          <w:szCs w:val="20"/>
          <w:vertAlign w:val="superscript"/>
        </w:rPr>
        <w:t>2</w:t>
      </w:r>
      <w:r>
        <w:rPr>
          <w:sz w:val="20"/>
          <w:szCs w:val="20"/>
        </w:rPr>
        <w:t xml:space="preserve">Istanbul Technical University, Energy Institute, </w:t>
      </w:r>
      <w:proofErr w:type="spellStart"/>
      <w:r>
        <w:rPr>
          <w:sz w:val="20"/>
          <w:szCs w:val="20"/>
        </w:rPr>
        <w:t>Maslak</w:t>
      </w:r>
      <w:proofErr w:type="spellEnd"/>
      <w:r>
        <w:rPr>
          <w:sz w:val="20"/>
          <w:szCs w:val="20"/>
        </w:rPr>
        <w:t>, Turkey</w:t>
      </w:r>
    </w:p>
    <w:p w14:paraId="6279693A" w14:textId="77777777" w:rsidR="002C6904" w:rsidRPr="00AB53D5" w:rsidRDefault="002C6904" w:rsidP="002C6904">
      <w:pPr>
        <w:spacing w:after="0" w:line="240" w:lineRule="auto"/>
        <w:rPr>
          <w:sz w:val="20"/>
          <w:szCs w:val="20"/>
        </w:rPr>
      </w:pPr>
      <w:r>
        <w:rPr>
          <w:sz w:val="20"/>
          <w:szCs w:val="20"/>
          <w:vertAlign w:val="superscript"/>
        </w:rPr>
        <w:t>3</w:t>
      </w:r>
      <w:r>
        <w:rPr>
          <w:sz w:val="20"/>
          <w:szCs w:val="20"/>
        </w:rPr>
        <w:t>Istanbul Technical University, Eurasia Earth Sciences Institute,</w:t>
      </w:r>
      <w:r w:rsidRPr="00D93053">
        <w:rPr>
          <w:sz w:val="20"/>
          <w:szCs w:val="20"/>
        </w:rPr>
        <w:t xml:space="preserve"> </w:t>
      </w:r>
      <w:proofErr w:type="spellStart"/>
      <w:r>
        <w:rPr>
          <w:sz w:val="20"/>
          <w:szCs w:val="20"/>
        </w:rPr>
        <w:t>Maslak</w:t>
      </w:r>
      <w:proofErr w:type="spellEnd"/>
      <w:r>
        <w:rPr>
          <w:sz w:val="20"/>
          <w:szCs w:val="20"/>
        </w:rPr>
        <w:t>, Turkey</w:t>
      </w:r>
    </w:p>
    <w:p w14:paraId="2E0AEA78" w14:textId="77777777" w:rsidR="002C6904" w:rsidRDefault="002C6904" w:rsidP="00D057EF">
      <w:pPr>
        <w:jc w:val="center"/>
        <w:rPr>
          <w:b/>
          <w:bCs/>
        </w:rPr>
      </w:pPr>
      <w:bookmarkStart w:id="0" w:name="_GoBack"/>
      <w:bookmarkEnd w:id="0"/>
    </w:p>
    <w:p w14:paraId="6280A6F8" w14:textId="56F0B1CE" w:rsidR="000F25B0" w:rsidRDefault="000F25B0" w:rsidP="00D057EF">
      <w:pPr>
        <w:jc w:val="center"/>
        <w:rPr>
          <w:b/>
          <w:bCs/>
        </w:rPr>
      </w:pPr>
      <w:r>
        <w:rPr>
          <w:b/>
          <w:bCs/>
        </w:rPr>
        <w:t>Abstract</w:t>
      </w:r>
    </w:p>
    <w:p w14:paraId="6AE1FE68" w14:textId="29CA6F2F" w:rsidR="000F25B0" w:rsidRPr="00B713BD" w:rsidRDefault="00B713BD" w:rsidP="000F25B0">
      <w:r w:rsidRPr="00B713BD">
        <w:t>Macroeconomic developments in the world</w:t>
      </w:r>
      <w:r>
        <w:t xml:space="preserve"> -especially Russia – Ukra</w:t>
      </w:r>
      <w:r w:rsidR="00DC3CE4">
        <w:t>i</w:t>
      </w:r>
      <w:r>
        <w:t>n</w:t>
      </w:r>
      <w:r w:rsidR="00DC3CE4">
        <w:t>e</w:t>
      </w:r>
      <w:r>
        <w:t xml:space="preserve"> war-</w:t>
      </w:r>
      <w:r w:rsidRPr="00B713BD">
        <w:t xml:space="preserve"> are triggering risks related to transitioning to a low-carbon economy. The energy sector, in particular, is one of the industries most exposed to these risks when considering its role in the transition to a low-carbon economy. Companies aim to reduce these risks by implementing sustainability practices. In this study, the sustainability performance, exposure to market risks and effects on financial performance of sub-sectors of companies listed in the BIST Electric</w:t>
      </w:r>
      <w:r>
        <w:t>ity</w:t>
      </w:r>
      <w:r w:rsidRPr="00B713BD">
        <w:t xml:space="preserve"> index were </w:t>
      </w:r>
      <w:r w:rsidR="00085C3E" w:rsidRPr="00B713BD">
        <w:t>analysed</w:t>
      </w:r>
      <w:r w:rsidRPr="00B713BD">
        <w:t xml:space="preserve"> using panel data regression. As a result of the analysis, it was observed that the sustainability performance of the companies examined or the sub-sector in which they operate does not have a significant impact on financial performance. Additionally, the Russia-Ukraine war had a positive </w:t>
      </w:r>
      <w:r>
        <w:t>significant i</w:t>
      </w:r>
      <w:r w:rsidRPr="00B713BD">
        <w:t>mpact on the financial performance of companies listed in the BIST Electric</w:t>
      </w:r>
      <w:r>
        <w:t>ity</w:t>
      </w:r>
      <w:r w:rsidRPr="00B713BD">
        <w:t xml:space="preserve"> index. However, in a separately created model for companies that currently have sustainability practices in place, it was observed that sustainability initiatives taken by companies have a positive and significant impact on their financial performance.</w:t>
      </w:r>
    </w:p>
    <w:p w14:paraId="19DD85EB" w14:textId="77777777" w:rsidR="00974DE2" w:rsidRPr="001B47BF" w:rsidRDefault="00974DE2" w:rsidP="005B3402">
      <w:pPr>
        <w:pStyle w:val="Heading1"/>
      </w:pPr>
      <w:r w:rsidRPr="001B47BF">
        <w:lastRenderedPageBreak/>
        <w:t>Introduction</w:t>
      </w:r>
    </w:p>
    <w:p w14:paraId="62673B2C" w14:textId="44AD6915" w:rsidR="00E97260" w:rsidRDefault="00DB55EE" w:rsidP="005B3402">
      <w:r w:rsidRPr="00DB55EE">
        <w:t xml:space="preserve">As emphasized in COP 26, international financial institutions should do their best to enable private and public </w:t>
      </w:r>
      <w:r>
        <w:t>sector</w:t>
      </w:r>
      <w:r w:rsidRPr="00DB55EE">
        <w:t xml:space="preserve"> to access sustainable finance by expanding sustainable finance scale </w:t>
      </w:r>
      <w:r w:rsidR="007B023F">
        <w:t>[1]</w:t>
      </w:r>
      <w:r w:rsidR="00070B72">
        <w:t xml:space="preserve">. </w:t>
      </w:r>
      <w:r w:rsidRPr="00DB55EE">
        <w:t xml:space="preserve">If </w:t>
      </w:r>
      <w:r>
        <w:t>we</w:t>
      </w:r>
      <w:r w:rsidRPr="00DB55EE">
        <w:t xml:space="preserve"> </w:t>
      </w:r>
      <w:r>
        <w:t>evaluate the issue</w:t>
      </w:r>
      <w:r w:rsidRPr="00DB55EE">
        <w:t xml:space="preserve"> from the perspective of</w:t>
      </w:r>
      <w:r>
        <w:t xml:space="preserve"> </w:t>
      </w:r>
      <w:r w:rsidRPr="00DB55EE">
        <w:t>Turkey</w:t>
      </w:r>
      <w:r w:rsidR="00070B72">
        <w:t xml:space="preserve">, </w:t>
      </w:r>
      <w:r w:rsidR="00863E53">
        <w:t xml:space="preserve">Turkey’s achievement of Net Zero targets highly depends on energy transition via making </w:t>
      </w:r>
      <w:r w:rsidR="00863E53" w:rsidRPr="00F717F1">
        <w:t xml:space="preserve">energy related development </w:t>
      </w:r>
      <w:r w:rsidR="00863E53">
        <w:t>more sustainable [2].</w:t>
      </w:r>
      <w:r>
        <w:t xml:space="preserve"> </w:t>
      </w:r>
      <w:r w:rsidRPr="00DB55EE">
        <w:t>Therefore, considering the key role of the energy sector in the realization of this target; It is clear that sustainability is closely related to the Turkish energy sector with all its actors.</w:t>
      </w:r>
      <w:r w:rsidR="00863E53">
        <w:t xml:space="preserve"> </w:t>
      </w:r>
    </w:p>
    <w:p w14:paraId="2D55E6AB" w14:textId="3A77B05B" w:rsidR="00901AFC" w:rsidRPr="00901AFC" w:rsidRDefault="00901AFC" w:rsidP="005B3402">
      <w:r w:rsidRPr="00901AFC">
        <w:t xml:space="preserve">For a while, companies have been reporting their </w:t>
      </w:r>
      <w:r w:rsidR="00C71862">
        <w:t xml:space="preserve">sustainability </w:t>
      </w:r>
      <w:r w:rsidRPr="00901AFC">
        <w:t>performances via ESG</w:t>
      </w:r>
      <w:r w:rsidR="00C71862">
        <w:t xml:space="preserve"> (</w:t>
      </w:r>
      <w:r w:rsidR="00C71862" w:rsidRPr="00901AFC">
        <w:t>environmental, social, and governance</w:t>
      </w:r>
      <w:r w:rsidR="00C71862">
        <w:t>)</w:t>
      </w:r>
      <w:r w:rsidRPr="00901AFC">
        <w:t xml:space="preserve"> disclosures in order to satisfy different drivers such as </w:t>
      </w:r>
      <w:r w:rsidR="003E7B92">
        <w:t xml:space="preserve">accessing </w:t>
      </w:r>
      <w:r w:rsidR="00863E53">
        <w:t>climate</w:t>
      </w:r>
      <w:r w:rsidR="003E7B92">
        <w:t xml:space="preserve"> financ</w:t>
      </w:r>
      <w:r w:rsidR="008D7E6E">
        <w:t>e</w:t>
      </w:r>
      <w:r w:rsidR="003E7B92">
        <w:t>,</w:t>
      </w:r>
      <w:r w:rsidR="00863E53">
        <w:t xml:space="preserve"> </w:t>
      </w:r>
      <w:r w:rsidR="00863E53" w:rsidRPr="00901AFC">
        <w:t>managing risks</w:t>
      </w:r>
      <w:r w:rsidR="00863E53">
        <w:t>,</w:t>
      </w:r>
      <w:r w:rsidR="003E7B92">
        <w:t xml:space="preserve"> </w:t>
      </w:r>
      <w:r w:rsidRPr="00901AFC">
        <w:t>meeting stakeholder expectations</w:t>
      </w:r>
      <w:r w:rsidR="00863E53">
        <w:t xml:space="preserve"> and</w:t>
      </w:r>
      <w:r w:rsidRPr="00901AFC">
        <w:t xml:space="preserve"> brand reputation</w:t>
      </w:r>
      <w:r w:rsidR="00863E53">
        <w:t>.</w:t>
      </w:r>
      <w:r w:rsidR="003E7B92">
        <w:t xml:space="preserve"> </w:t>
      </w:r>
      <w:r w:rsidRPr="00901AFC">
        <w:t xml:space="preserve">According to the </w:t>
      </w:r>
      <w:r w:rsidR="00C71862">
        <w:t xml:space="preserve">existence, </w:t>
      </w:r>
      <w:r w:rsidRPr="00901AFC">
        <w:t xml:space="preserve">transparency and quality of these ESG disclosures, companies obtain a rating for their </w:t>
      </w:r>
      <w:r w:rsidR="00C71862">
        <w:t xml:space="preserve">performances on </w:t>
      </w:r>
      <w:r w:rsidRPr="00901AFC">
        <w:t xml:space="preserve">environmental, social, and governance pillars of ESG with different weight points according to various methods. These consolidated scores </w:t>
      </w:r>
      <w:r w:rsidR="00641F50">
        <w:t>called</w:t>
      </w:r>
      <w:r w:rsidRPr="00901AFC">
        <w:t xml:space="preserve"> ESG rating</w:t>
      </w:r>
      <w:r w:rsidR="00641F50">
        <w:t xml:space="preserve"> which reflects sustainability performance </w:t>
      </w:r>
      <w:r w:rsidRPr="00901AFC">
        <w:t>[</w:t>
      </w:r>
      <w:r w:rsidR="00863E53">
        <w:t>3</w:t>
      </w:r>
      <w:r w:rsidRPr="00901AFC">
        <w:t>]</w:t>
      </w:r>
      <w:r w:rsidR="00C71862">
        <w:t>.</w:t>
      </w:r>
    </w:p>
    <w:p w14:paraId="537F063C" w14:textId="77777777" w:rsidR="00901AFC" w:rsidRDefault="00901AFC" w:rsidP="005B3402">
      <w:r w:rsidRPr="00901AFC">
        <w:t>High</w:t>
      </w:r>
      <w:r w:rsidR="00215E7A">
        <w:t>er</w:t>
      </w:r>
      <w:r w:rsidRPr="00901AFC">
        <w:t xml:space="preserve"> ESG ratings are considered as an indicator of companies' anti-fragility against </w:t>
      </w:r>
      <w:r w:rsidR="00D16BEA">
        <w:t xml:space="preserve">financial and climate-related </w:t>
      </w:r>
      <w:r w:rsidR="00F71576">
        <w:t>risks</w:t>
      </w:r>
      <w:r w:rsidRPr="00901AFC">
        <w:t xml:space="preserve"> by investors [</w:t>
      </w:r>
      <w:r w:rsidR="00863E53">
        <w:t>4</w:t>
      </w:r>
      <w:r w:rsidRPr="00901AFC">
        <w:t>]. The world under the effects of the economic crisis,</w:t>
      </w:r>
      <w:r w:rsidR="00F71576">
        <w:t xml:space="preserve"> </w:t>
      </w:r>
      <w:r w:rsidRPr="00901AFC">
        <w:t xml:space="preserve">energy crisis, and supply </w:t>
      </w:r>
      <w:r w:rsidR="00C71862">
        <w:t xml:space="preserve">chain </w:t>
      </w:r>
      <w:r w:rsidRPr="00901AFC">
        <w:t>crisis provide</w:t>
      </w:r>
      <w:r w:rsidR="00215E7A">
        <w:t>s</w:t>
      </w:r>
      <w:r w:rsidRPr="00901AFC">
        <w:t xml:space="preserve"> </w:t>
      </w:r>
      <w:r w:rsidR="00215E7A">
        <w:t>surface</w:t>
      </w:r>
      <w:r w:rsidRPr="00901AFC">
        <w:t xml:space="preserve"> for testing the validity of this assumption</w:t>
      </w:r>
      <w:r w:rsidR="00215E7A">
        <w:t xml:space="preserve"> since </w:t>
      </w:r>
      <w:r w:rsidR="00D16BEA">
        <w:t>current situation regarding crises</w:t>
      </w:r>
      <w:r w:rsidR="00215E7A">
        <w:t xml:space="preserve"> triggers </w:t>
      </w:r>
      <w:r w:rsidR="00D16BEA">
        <w:t>market</w:t>
      </w:r>
      <w:r w:rsidR="00226FF7">
        <w:t xml:space="preserve"> risks related to the transition to a lower-carbon economy [</w:t>
      </w:r>
      <w:r w:rsidR="00863E53">
        <w:t>5</w:t>
      </w:r>
      <w:r w:rsidR="00226FF7">
        <w:t>]</w:t>
      </w:r>
      <w:r w:rsidR="00F71576">
        <w:t>. Do</w:t>
      </w:r>
      <w:r w:rsidRPr="00901AFC">
        <w:t xml:space="preserve"> companies with high</w:t>
      </w:r>
      <w:r w:rsidR="00F71576">
        <w:t>er</w:t>
      </w:r>
      <w:r w:rsidRPr="00901AFC">
        <w:t xml:space="preserve"> ESG ratings </w:t>
      </w:r>
      <w:r w:rsidR="00F71576">
        <w:t>really have</w:t>
      </w:r>
      <w:r w:rsidRPr="00901AFC">
        <w:t xml:space="preserve"> better</w:t>
      </w:r>
      <w:r w:rsidR="00F71576">
        <w:t xml:space="preserve"> financial per</w:t>
      </w:r>
      <w:r w:rsidR="00226FF7">
        <w:t>f</w:t>
      </w:r>
      <w:r w:rsidR="00F71576">
        <w:t>orman</w:t>
      </w:r>
      <w:r w:rsidR="00226FF7">
        <w:t>ce</w:t>
      </w:r>
      <w:r w:rsidRPr="00901AFC">
        <w:t xml:space="preserve"> during this complex crisis?</w:t>
      </w:r>
    </w:p>
    <w:p w14:paraId="619F9F22" w14:textId="58934BB0" w:rsidR="00B717FA" w:rsidRDefault="00B717FA" w:rsidP="005B3402">
      <w:r w:rsidRPr="00B717FA">
        <w:t>In this direction, BIST Sustainability Index (XUSRD) which include</w:t>
      </w:r>
      <w:r>
        <w:t>s</w:t>
      </w:r>
      <w:r w:rsidRPr="00B717FA">
        <w:t xml:space="preserve"> the shares of companies traded in </w:t>
      </w:r>
      <w:proofErr w:type="spellStart"/>
      <w:r w:rsidRPr="00B717FA">
        <w:t>Borsa</w:t>
      </w:r>
      <w:proofErr w:type="spellEnd"/>
      <w:r w:rsidRPr="00B717FA">
        <w:t xml:space="preserve"> Istanbul with hig</w:t>
      </w:r>
      <w:r w:rsidR="00B74652">
        <w:t xml:space="preserve">h </w:t>
      </w:r>
      <w:r w:rsidRPr="00B717FA">
        <w:t xml:space="preserve">sustainability performance was created in order to increase the understanding, knowledge and practices on sustainability especially among </w:t>
      </w:r>
      <w:proofErr w:type="spellStart"/>
      <w:r w:rsidRPr="00B717FA">
        <w:t>Borsa</w:t>
      </w:r>
      <w:proofErr w:type="spellEnd"/>
      <w:r w:rsidRPr="00B717FA">
        <w:t xml:space="preserve"> İstanbul </w:t>
      </w:r>
      <w:r w:rsidRPr="00B717FA">
        <w:lastRenderedPageBreak/>
        <w:t>companies.</w:t>
      </w:r>
      <w:r w:rsidR="00B74652">
        <w:t xml:space="preserve"> </w:t>
      </w:r>
      <w:r w:rsidR="00B74652" w:rsidRPr="00B74652">
        <w:t xml:space="preserve">It has been stated that companies that can effectively manage their risks and opportunities can </w:t>
      </w:r>
      <w:r w:rsidR="00B74652">
        <w:t>attain</w:t>
      </w:r>
      <w:r w:rsidR="00B74652" w:rsidRPr="00B74652">
        <w:t xml:space="preserve"> competitive advantage by increasing their reputation through the index. In addition, it has been stated that</w:t>
      </w:r>
      <w:r w:rsidR="007A718B">
        <w:t xml:space="preserve"> index-related</w:t>
      </w:r>
      <w:r w:rsidR="00B74652" w:rsidRPr="00B74652">
        <w:t xml:space="preserve"> new investment products can be developed </w:t>
      </w:r>
      <w:r w:rsidR="007A718B">
        <w:t xml:space="preserve">which </w:t>
      </w:r>
      <w:r w:rsidR="00B74652" w:rsidRPr="00B74652">
        <w:t>enabl</w:t>
      </w:r>
      <w:r w:rsidR="007A718B">
        <w:t>e</w:t>
      </w:r>
      <w:r w:rsidR="00B74652" w:rsidRPr="00B74652">
        <w:t xml:space="preserve"> companies to attract new capital and provide financing under </w:t>
      </w:r>
      <w:proofErr w:type="spellStart"/>
      <w:r w:rsidR="00B74652" w:rsidRPr="00B74652">
        <w:t>favorable</w:t>
      </w:r>
      <w:proofErr w:type="spellEnd"/>
      <w:r w:rsidR="00B74652" w:rsidRPr="00B74652">
        <w:t xml:space="preserve"> conditions.</w:t>
      </w:r>
      <w:r w:rsidR="007A718B">
        <w:t xml:space="preserve"> [6]</w:t>
      </w:r>
    </w:p>
    <w:p w14:paraId="5CCACDEB" w14:textId="05091DC6" w:rsidR="007A718B" w:rsidRDefault="007A718B" w:rsidP="005B3402">
      <w:r w:rsidRPr="007A718B">
        <w:t>With this study</w:t>
      </w:r>
      <w:r>
        <w:t>;</w:t>
      </w:r>
      <w:r w:rsidRPr="007A718B">
        <w:t xml:space="preserve"> in shadow of the crisis which</w:t>
      </w:r>
      <w:r>
        <w:t xml:space="preserve"> triggers</w:t>
      </w:r>
      <w:r w:rsidRPr="007A718B">
        <w:t xml:space="preserve"> market risks related to the transition to a lower-carbon economy, </w:t>
      </w:r>
      <w:r w:rsidR="007E2A18">
        <w:t xml:space="preserve">relationship between </w:t>
      </w:r>
      <w:r w:rsidRPr="007A718B">
        <w:t xml:space="preserve">sustainability </w:t>
      </w:r>
      <w:r>
        <w:t xml:space="preserve">and financial </w:t>
      </w:r>
      <w:r w:rsidRPr="007A718B">
        <w:t xml:space="preserve">performance of the </w:t>
      </w:r>
      <w:r w:rsidR="00D33C46">
        <w:t>generator</w:t>
      </w:r>
      <w:r w:rsidRPr="007A718B">
        <w:t xml:space="preserve"> and </w:t>
      </w:r>
      <w:r w:rsidR="00D33C46">
        <w:t>retailer</w:t>
      </w:r>
      <w:r w:rsidRPr="007A718B">
        <w:t xml:space="preserve"> companies in the Turkish energy </w:t>
      </w:r>
      <w:r w:rsidR="007E2A18">
        <w:t>market</w:t>
      </w:r>
      <w:r w:rsidRPr="007A718B">
        <w:t xml:space="preserve"> will be evaluated by </w:t>
      </w:r>
      <w:r w:rsidR="00D33C46">
        <w:t xml:space="preserve">panel data </w:t>
      </w:r>
      <w:r w:rsidRPr="007A718B">
        <w:t>regression analysis.</w:t>
      </w:r>
      <w:r w:rsidR="007E2A18">
        <w:t xml:space="preserve"> </w:t>
      </w:r>
      <w:r w:rsidR="007E2A18" w:rsidRPr="007E2A18">
        <w:t xml:space="preserve">In this context, as a result of the analysis, the relationships </w:t>
      </w:r>
      <w:r w:rsidR="007E2A18">
        <w:t>between</w:t>
      </w:r>
      <w:r w:rsidR="007E2A18" w:rsidRPr="007E2A18">
        <w:t xml:space="preserve"> the companies' fields of </w:t>
      </w:r>
      <w:r w:rsidR="007E2A18">
        <w:t>operation</w:t>
      </w:r>
      <w:r w:rsidR="007E2A18" w:rsidRPr="007E2A18">
        <w:t xml:space="preserve">, index </w:t>
      </w:r>
      <w:r w:rsidR="00A62472">
        <w:t>involvement</w:t>
      </w:r>
      <w:r w:rsidR="007E2A18" w:rsidRPr="007E2A18">
        <w:t xml:space="preserve">, and the score they </w:t>
      </w:r>
      <w:r w:rsidR="007E2A18">
        <w:t>obtain</w:t>
      </w:r>
      <w:r w:rsidR="007E2A18" w:rsidRPr="007E2A18">
        <w:t xml:space="preserve"> in different pillars of the ESG will be evaluated in a quantitative way.</w:t>
      </w:r>
    </w:p>
    <w:p w14:paraId="6B475411" w14:textId="0EEB845B" w:rsidR="00494733" w:rsidRPr="001801CF" w:rsidRDefault="0006484B" w:rsidP="001801CF">
      <w:pPr>
        <w:rPr>
          <w:shd w:val="clear" w:color="auto" w:fill="FFFFFF"/>
        </w:rPr>
      </w:pPr>
      <w:r w:rsidRPr="0006484B">
        <w:rPr>
          <w:shd w:val="clear" w:color="auto" w:fill="FFFFFF"/>
        </w:rPr>
        <w:t xml:space="preserve">This study will make two contributions to the literature. First, it will contribute to the existing literature on financial performance and sustainability performance as a new data point. Second, it will determine the sub-sectors of publicly traded companies in the Turkish energy market and their </w:t>
      </w:r>
      <w:r w:rsidR="00A62472">
        <w:rPr>
          <w:shd w:val="clear" w:color="auto" w:fill="FFFFFF"/>
        </w:rPr>
        <w:t>involvement</w:t>
      </w:r>
      <w:r w:rsidRPr="0006484B">
        <w:rPr>
          <w:shd w:val="clear" w:color="auto" w:fill="FFFFFF"/>
        </w:rPr>
        <w:t xml:space="preserve"> in the XUSRD index, and then reveal the relationship between sustainability performance and financial performance according to these conditions.</w:t>
      </w:r>
    </w:p>
    <w:p w14:paraId="6AA5CFCA" w14:textId="50F7E04E" w:rsidR="00862E33" w:rsidRPr="00862E33" w:rsidRDefault="00862E33" w:rsidP="00862E33">
      <w:pPr>
        <w:rPr>
          <w:lang w:val="en-US" w:eastAsia="en-US"/>
        </w:rPr>
      </w:pPr>
      <w:r>
        <w:rPr>
          <w:lang w:val="en-US" w:eastAsia="en-US"/>
        </w:rPr>
        <w:t>Framework of the study is given below.</w:t>
      </w:r>
    </w:p>
    <w:p w14:paraId="535C406D" w14:textId="77777777" w:rsidR="00862E33" w:rsidRDefault="00862E33" w:rsidP="000B7339">
      <w:pPr>
        <w:keepNext/>
        <w:jc w:val="center"/>
      </w:pPr>
      <w:r>
        <w:rPr>
          <w:noProof/>
        </w:rPr>
        <w:lastRenderedPageBreak/>
        <w:drawing>
          <wp:inline distT="0" distB="0" distL="0" distR="0" wp14:anchorId="3E1D3741" wp14:editId="3B094961">
            <wp:extent cx="3501957" cy="3248586"/>
            <wp:effectExtent l="0" t="0" r="3810" b="3175"/>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4324" cy="3306441"/>
                    </a:xfrm>
                    <a:prstGeom prst="rect">
                      <a:avLst/>
                    </a:prstGeom>
                  </pic:spPr>
                </pic:pic>
              </a:graphicData>
            </a:graphic>
          </wp:inline>
        </w:drawing>
      </w:r>
    </w:p>
    <w:p w14:paraId="3ADBEE32" w14:textId="12483312" w:rsidR="00F7194B" w:rsidRDefault="00862E33" w:rsidP="000B7339">
      <w:pPr>
        <w:pStyle w:val="Caption"/>
        <w:jc w:val="center"/>
        <w:rPr>
          <w:b/>
          <w:bCs/>
          <w:i w:val="0"/>
          <w:iCs w:val="0"/>
          <w:color w:val="000000" w:themeColor="text1"/>
          <w:sz w:val="24"/>
          <w:szCs w:val="24"/>
        </w:rPr>
      </w:pPr>
      <w:r w:rsidRPr="00862E33">
        <w:rPr>
          <w:b/>
          <w:bCs/>
          <w:i w:val="0"/>
          <w:iCs w:val="0"/>
          <w:color w:val="000000" w:themeColor="text1"/>
          <w:sz w:val="24"/>
          <w:szCs w:val="24"/>
        </w:rPr>
        <w:t xml:space="preserve">Figure </w:t>
      </w:r>
      <w:r w:rsidRPr="00862E33">
        <w:rPr>
          <w:b/>
          <w:bCs/>
          <w:i w:val="0"/>
          <w:iCs w:val="0"/>
          <w:color w:val="000000" w:themeColor="text1"/>
          <w:sz w:val="24"/>
          <w:szCs w:val="24"/>
        </w:rPr>
        <w:fldChar w:fldCharType="begin"/>
      </w:r>
      <w:r w:rsidRPr="00862E33">
        <w:rPr>
          <w:b/>
          <w:bCs/>
          <w:i w:val="0"/>
          <w:iCs w:val="0"/>
          <w:color w:val="000000" w:themeColor="text1"/>
          <w:sz w:val="24"/>
          <w:szCs w:val="24"/>
        </w:rPr>
        <w:instrText xml:space="preserve"> SEQ Figure \* ARABIC </w:instrText>
      </w:r>
      <w:r w:rsidRPr="00862E33">
        <w:rPr>
          <w:b/>
          <w:bCs/>
          <w:i w:val="0"/>
          <w:iCs w:val="0"/>
          <w:color w:val="000000" w:themeColor="text1"/>
          <w:sz w:val="24"/>
          <w:szCs w:val="24"/>
        </w:rPr>
        <w:fldChar w:fldCharType="separate"/>
      </w:r>
      <w:r w:rsidRPr="00862E33">
        <w:rPr>
          <w:b/>
          <w:bCs/>
          <w:i w:val="0"/>
          <w:iCs w:val="0"/>
          <w:noProof/>
          <w:color w:val="000000" w:themeColor="text1"/>
          <w:sz w:val="24"/>
          <w:szCs w:val="24"/>
        </w:rPr>
        <w:t>1</w:t>
      </w:r>
      <w:r w:rsidRPr="00862E33">
        <w:rPr>
          <w:b/>
          <w:bCs/>
          <w:i w:val="0"/>
          <w:iCs w:val="0"/>
          <w:color w:val="000000" w:themeColor="text1"/>
          <w:sz w:val="24"/>
          <w:szCs w:val="24"/>
        </w:rPr>
        <w:fldChar w:fldCharType="end"/>
      </w:r>
      <w:r w:rsidRPr="00862E33">
        <w:rPr>
          <w:b/>
          <w:bCs/>
          <w:i w:val="0"/>
          <w:iCs w:val="0"/>
          <w:color w:val="000000" w:themeColor="text1"/>
          <w:sz w:val="24"/>
          <w:szCs w:val="24"/>
        </w:rPr>
        <w:t>. Framework of the study</w:t>
      </w:r>
    </w:p>
    <w:p w14:paraId="76DBE9CA" w14:textId="3F0CB74E" w:rsidR="00862E33" w:rsidRPr="000B7339" w:rsidRDefault="001801CF" w:rsidP="00862E33">
      <w:pPr>
        <w:rPr>
          <w:shd w:val="clear" w:color="auto" w:fill="FFFFFF"/>
        </w:rPr>
      </w:pPr>
      <w:r w:rsidRPr="004455EA">
        <w:rPr>
          <w:shd w:val="clear" w:color="auto" w:fill="FFFFFF"/>
        </w:rPr>
        <w:t>The organization of this paper consists of 6 sections. The first section provides an introduction to the research question and the importance of the study. The second section explains the framework. The third section reviews the relevant literature on the topic. The fourth section presents the data and method used in the study. The fifth section reports the results of the analysis and discusses the implications of the findings and. The final section provides a conclusion and recommendations for future research.</w:t>
      </w:r>
    </w:p>
    <w:p w14:paraId="25A382B9" w14:textId="77777777" w:rsidR="00974DE2" w:rsidRPr="00974DE2" w:rsidRDefault="00974DE2" w:rsidP="005B3402">
      <w:pPr>
        <w:pStyle w:val="Heading1"/>
        <w:rPr>
          <w:rFonts w:eastAsia="Calibri"/>
        </w:rPr>
      </w:pPr>
      <w:r w:rsidRPr="00974DE2">
        <w:rPr>
          <w:rFonts w:eastAsia="Calibri"/>
        </w:rPr>
        <w:t>Literature Review</w:t>
      </w:r>
    </w:p>
    <w:p w14:paraId="0215F2ED" w14:textId="25E2A1A8" w:rsidR="000377FA" w:rsidRPr="00324DEE" w:rsidRDefault="000377FA" w:rsidP="005B3402">
      <w:r w:rsidRPr="005B3402">
        <w:t>According to TCFD</w:t>
      </w:r>
      <w:r w:rsidR="00A0185E" w:rsidRPr="005B3402">
        <w:t>,</w:t>
      </w:r>
      <w:r w:rsidRPr="005B3402">
        <w:t xml:space="preserve"> market risks are one of the main </w:t>
      </w:r>
      <w:r w:rsidR="00A0185E" w:rsidRPr="005B3402">
        <w:t>categories</w:t>
      </w:r>
      <w:r w:rsidRPr="005B3402">
        <w:t xml:space="preserve"> of </w:t>
      </w:r>
      <w:r w:rsidR="00A0185E" w:rsidRPr="005B3402">
        <w:t>risks related to the transition</w:t>
      </w:r>
      <w:r w:rsidR="00A0185E">
        <w:t xml:space="preserve"> of a lower-carbon economy and driven by changing customer </w:t>
      </w:r>
      <w:r w:rsidR="00882C82">
        <w:t>behaviour</w:t>
      </w:r>
      <w:r w:rsidR="00A0185E">
        <w:t xml:space="preserve">, </w:t>
      </w:r>
      <w:r w:rsidR="00882C82">
        <w:t>uncertainty</w:t>
      </w:r>
      <w:r w:rsidR="00A0185E">
        <w:t xml:space="preserve"> in market signals and increased cost of raw materials [5]. </w:t>
      </w:r>
      <w:r w:rsidR="004F12B1">
        <w:t xml:space="preserve">As a complement </w:t>
      </w:r>
      <w:r w:rsidR="00A0185E">
        <w:t xml:space="preserve">[7] explains that potential risks of carbon market </w:t>
      </w:r>
      <w:r w:rsidR="00F74636">
        <w:t>depend</w:t>
      </w:r>
      <w:r w:rsidR="00A0185E">
        <w:t xml:space="preserve"> on a lot of external factors but oil and natural gas prices </w:t>
      </w:r>
      <w:r w:rsidR="004F12B1">
        <w:t>stand out as they are most associated economic factors.</w:t>
      </w:r>
      <w:r w:rsidR="00E03774">
        <w:t xml:space="preserve"> In this context</w:t>
      </w:r>
      <w:r w:rsidR="0050167B">
        <w:t xml:space="preserve"> </w:t>
      </w:r>
      <w:r w:rsidR="00E03774">
        <w:t>w</w:t>
      </w:r>
      <w:r w:rsidR="0050167B">
        <w:t xml:space="preserve">hen Russia-Ukraine war and </w:t>
      </w:r>
      <w:r w:rsidR="0050167B">
        <w:lastRenderedPageBreak/>
        <w:t xml:space="preserve">the </w:t>
      </w:r>
      <w:r w:rsidR="00882C82">
        <w:t>spill over</w:t>
      </w:r>
      <w:r w:rsidR="0050167B">
        <w:t xml:space="preserve"> effect it creates taken into account, it</w:t>
      </w:r>
      <w:r w:rsidR="004F12B1">
        <w:t xml:space="preserve"> is </w:t>
      </w:r>
      <w:r w:rsidR="0050167B">
        <w:t xml:space="preserve">clear </w:t>
      </w:r>
      <w:r w:rsidR="00E03774">
        <w:t xml:space="preserve">to understand </w:t>
      </w:r>
      <w:r w:rsidR="004F12B1">
        <w:t xml:space="preserve">that market risks </w:t>
      </w:r>
      <w:r w:rsidR="00136535">
        <w:t xml:space="preserve">have been triggered </w:t>
      </w:r>
      <w:r w:rsidR="0050167B">
        <w:t>for energy sector.</w:t>
      </w:r>
    </w:p>
    <w:p w14:paraId="1522A429" w14:textId="333475E7" w:rsidR="0057404B" w:rsidRDefault="00E11327" w:rsidP="005B3402">
      <w:r w:rsidRPr="00E11327">
        <w:t>ESG scores can be calculated by many different methods.</w:t>
      </w:r>
      <w:r w:rsidR="00747055" w:rsidRPr="00E11327">
        <w:t xml:space="preserve"> [8] </w:t>
      </w:r>
      <w:r w:rsidR="001611E6" w:rsidRPr="00E11327">
        <w:t>shows</w:t>
      </w:r>
      <w:r w:rsidR="00747055" w:rsidRPr="00E11327">
        <w:t xml:space="preserve"> how six most popular ESG rating providers; KLD, </w:t>
      </w:r>
      <w:proofErr w:type="spellStart"/>
      <w:r w:rsidR="00747055" w:rsidRPr="00E11327">
        <w:t>Sustainalytics</w:t>
      </w:r>
      <w:proofErr w:type="spellEnd"/>
      <w:r w:rsidR="00747055" w:rsidRPr="00E11327">
        <w:t>, Moody’s ESG (</w:t>
      </w:r>
      <w:proofErr w:type="spellStart"/>
      <w:r w:rsidR="00747055" w:rsidRPr="00E11327">
        <w:t>Vigeo-Eiris</w:t>
      </w:r>
      <w:proofErr w:type="spellEnd"/>
      <w:r w:rsidR="00747055" w:rsidRPr="00E11327">
        <w:t>), S&amp;P Global (</w:t>
      </w:r>
      <w:proofErr w:type="spellStart"/>
      <w:r w:rsidR="00747055" w:rsidRPr="00E11327">
        <w:t>RobecoSAM</w:t>
      </w:r>
      <w:proofErr w:type="spellEnd"/>
      <w:r w:rsidR="00747055" w:rsidRPr="00E11327">
        <w:t xml:space="preserve">), </w:t>
      </w:r>
      <w:proofErr w:type="spellStart"/>
      <w:r w:rsidR="00747055" w:rsidRPr="00E11327">
        <w:t>Refinitiv</w:t>
      </w:r>
      <w:proofErr w:type="spellEnd"/>
      <w:r w:rsidR="00747055" w:rsidRPr="00E11327">
        <w:t xml:space="preserve"> (Asset4), and MSCI distinguish from each other </w:t>
      </w:r>
      <w:r w:rsidR="001611E6" w:rsidRPr="00E11327">
        <w:t xml:space="preserve">and how they interpret data points. Although [9] and [10] criticizes Refinitiv’s approach to disclosure and </w:t>
      </w:r>
      <w:proofErr w:type="spellStart"/>
      <w:r w:rsidR="001611E6" w:rsidRPr="00E11327">
        <w:t>incapabilities</w:t>
      </w:r>
      <w:proofErr w:type="spellEnd"/>
      <w:r w:rsidR="001611E6" w:rsidRPr="00E11327">
        <w:t>, [9] states that Refinitiv is the most popular rating agency.</w:t>
      </w:r>
      <w:r w:rsidR="0057404B">
        <w:t xml:space="preserve"> </w:t>
      </w:r>
    </w:p>
    <w:p w14:paraId="58104DB3" w14:textId="34365D17" w:rsidR="004011AC" w:rsidRDefault="004011AC" w:rsidP="005B3402">
      <w:r>
        <w:t>Refinitiv</w:t>
      </w:r>
      <w:r w:rsidR="00236478">
        <w:t>’s scoring methodology includes 186 publicly open data points which form 10 categories under 3 pillars of ESG. Relevancy and transparency of these data points form 10 ESG categories’ scores</w:t>
      </w:r>
      <w:r w:rsidR="001A05DA">
        <w:t xml:space="preserve"> t</w:t>
      </w:r>
      <w:r w:rsidR="00236478">
        <w:t>hen these category scores form pillar</w:t>
      </w:r>
      <w:r w:rsidR="001A05DA">
        <w:t xml:space="preserve"> and ESG overall </w:t>
      </w:r>
      <w:r w:rsidR="00236478">
        <w:t>scores</w:t>
      </w:r>
      <w:r w:rsidR="001A05DA">
        <w:t xml:space="preserve"> according to category and pillar weights</w:t>
      </w:r>
      <w:r w:rsidR="00236478">
        <w:t xml:space="preserve">. </w:t>
      </w:r>
      <w:r w:rsidR="0085590A">
        <w:t>[3]</w:t>
      </w:r>
      <w:r w:rsidR="001A05DA">
        <w:t xml:space="preserve"> Each ESG pillars and categories under that pillar</w:t>
      </w:r>
      <w:r w:rsidR="000B7339">
        <w:t>s are</w:t>
      </w:r>
      <w:r w:rsidR="001A05DA">
        <w:t xml:space="preserve"> given in </w:t>
      </w:r>
      <w:r w:rsidR="001A05DA">
        <w:fldChar w:fldCharType="begin"/>
      </w:r>
      <w:r w:rsidR="001A05DA">
        <w:instrText xml:space="preserve"> REF _Ref117886516 \h </w:instrText>
      </w:r>
      <w:r w:rsidR="001A05DA">
        <w:fldChar w:fldCharType="separate"/>
      </w:r>
      <w:r w:rsidR="001A05DA" w:rsidRPr="008B76A6">
        <w:rPr>
          <w:b/>
          <w:bCs/>
          <w:i/>
          <w:iCs/>
        </w:rPr>
        <w:t xml:space="preserve">Table </w:t>
      </w:r>
      <w:r w:rsidR="001A05DA" w:rsidRPr="008B76A6">
        <w:rPr>
          <w:b/>
          <w:bCs/>
          <w:i/>
          <w:iCs/>
          <w:noProof/>
        </w:rPr>
        <w:t>1</w:t>
      </w:r>
      <w:r w:rsidR="001A05DA">
        <w:fldChar w:fldCharType="end"/>
      </w:r>
      <w:r w:rsidR="001A05DA">
        <w:t>.</w:t>
      </w:r>
    </w:p>
    <w:p w14:paraId="114CAC09" w14:textId="1B49B757" w:rsidR="008B76A6" w:rsidRPr="00851497" w:rsidRDefault="008B76A6" w:rsidP="009B7ACF">
      <w:pPr>
        <w:pStyle w:val="Caption"/>
        <w:jc w:val="center"/>
        <w:rPr>
          <w:b/>
          <w:bCs/>
          <w:i w:val="0"/>
          <w:iCs w:val="0"/>
          <w:color w:val="000000" w:themeColor="text1"/>
          <w:sz w:val="24"/>
          <w:szCs w:val="24"/>
        </w:rPr>
      </w:pPr>
      <w:bookmarkStart w:id="1" w:name="_Ref117886516"/>
      <w:r w:rsidRPr="00851497">
        <w:rPr>
          <w:b/>
          <w:bCs/>
          <w:i w:val="0"/>
          <w:iCs w:val="0"/>
          <w:color w:val="000000" w:themeColor="text1"/>
          <w:sz w:val="24"/>
          <w:szCs w:val="24"/>
        </w:rPr>
        <w:t xml:space="preserve">Table </w:t>
      </w:r>
      <w:r w:rsidRPr="00851497">
        <w:rPr>
          <w:b/>
          <w:bCs/>
          <w:i w:val="0"/>
          <w:iCs w:val="0"/>
          <w:color w:val="000000" w:themeColor="text1"/>
          <w:sz w:val="24"/>
          <w:szCs w:val="24"/>
        </w:rPr>
        <w:fldChar w:fldCharType="begin"/>
      </w:r>
      <w:r w:rsidRPr="00851497">
        <w:rPr>
          <w:b/>
          <w:bCs/>
          <w:i w:val="0"/>
          <w:iCs w:val="0"/>
          <w:color w:val="000000" w:themeColor="text1"/>
          <w:sz w:val="24"/>
          <w:szCs w:val="24"/>
        </w:rPr>
        <w:instrText xml:space="preserve"> SEQ Table \* ARABIC </w:instrText>
      </w:r>
      <w:r w:rsidRPr="00851497">
        <w:rPr>
          <w:b/>
          <w:bCs/>
          <w:i w:val="0"/>
          <w:iCs w:val="0"/>
          <w:color w:val="000000" w:themeColor="text1"/>
          <w:sz w:val="24"/>
          <w:szCs w:val="24"/>
        </w:rPr>
        <w:fldChar w:fldCharType="separate"/>
      </w:r>
      <w:r w:rsidR="00AD3F3F">
        <w:rPr>
          <w:b/>
          <w:bCs/>
          <w:i w:val="0"/>
          <w:iCs w:val="0"/>
          <w:noProof/>
          <w:color w:val="000000" w:themeColor="text1"/>
          <w:sz w:val="24"/>
          <w:szCs w:val="24"/>
        </w:rPr>
        <w:t>1</w:t>
      </w:r>
      <w:r w:rsidRPr="00851497">
        <w:rPr>
          <w:b/>
          <w:bCs/>
          <w:i w:val="0"/>
          <w:iCs w:val="0"/>
          <w:color w:val="000000" w:themeColor="text1"/>
          <w:sz w:val="24"/>
          <w:szCs w:val="24"/>
        </w:rPr>
        <w:fldChar w:fldCharType="end"/>
      </w:r>
      <w:bookmarkEnd w:id="1"/>
      <w:r w:rsidRPr="00851497">
        <w:rPr>
          <w:b/>
          <w:bCs/>
          <w:i w:val="0"/>
          <w:iCs w:val="0"/>
          <w:color w:val="000000" w:themeColor="text1"/>
          <w:sz w:val="24"/>
          <w:szCs w:val="24"/>
        </w:rPr>
        <w:t xml:space="preserve">. ESG </w:t>
      </w:r>
      <w:r w:rsidR="00236478" w:rsidRPr="00851497">
        <w:rPr>
          <w:b/>
          <w:bCs/>
          <w:i w:val="0"/>
          <w:iCs w:val="0"/>
          <w:color w:val="000000" w:themeColor="text1"/>
          <w:sz w:val="24"/>
          <w:szCs w:val="24"/>
        </w:rPr>
        <w:t>Pillars and Categories</w:t>
      </w:r>
      <w:r w:rsidRPr="00851497">
        <w:rPr>
          <w:b/>
          <w:bCs/>
          <w:i w:val="0"/>
          <w:iCs w:val="0"/>
          <w:color w:val="000000" w:themeColor="text1"/>
          <w:sz w:val="24"/>
          <w:szCs w:val="24"/>
        </w:rPr>
        <w:t xml:space="preserve"> [3]</w:t>
      </w:r>
    </w:p>
    <w:tbl>
      <w:tblPr>
        <w:tblStyle w:val="TableGrid"/>
        <w:tblW w:w="0" w:type="auto"/>
        <w:jc w:val="center"/>
        <w:tblLook w:val="04A0" w:firstRow="1" w:lastRow="0" w:firstColumn="1" w:lastColumn="0" w:noHBand="0" w:noVBand="1"/>
      </w:tblPr>
      <w:tblGrid>
        <w:gridCol w:w="3018"/>
        <w:gridCol w:w="3019"/>
        <w:gridCol w:w="3019"/>
      </w:tblGrid>
      <w:tr w:rsidR="003A3443" w:rsidRPr="00851497" w14:paraId="21BFBB0A" w14:textId="77777777" w:rsidTr="009B7ACF">
        <w:trPr>
          <w:trHeight w:val="125"/>
          <w:jc w:val="center"/>
        </w:trPr>
        <w:tc>
          <w:tcPr>
            <w:tcW w:w="3018" w:type="dxa"/>
            <w:vMerge w:val="restart"/>
            <w:vAlign w:val="center"/>
          </w:tcPr>
          <w:p w14:paraId="5BF2A4BA" w14:textId="79349A34" w:rsidR="003A3443" w:rsidRPr="00851497" w:rsidRDefault="003A3443" w:rsidP="00851497">
            <w:pPr>
              <w:spacing w:line="240" w:lineRule="auto"/>
              <w:rPr>
                <w:b/>
                <w:bCs/>
              </w:rPr>
            </w:pPr>
            <w:r w:rsidRPr="00851497">
              <w:rPr>
                <w:b/>
                <w:bCs/>
              </w:rPr>
              <w:t>ESG Score</w:t>
            </w:r>
          </w:p>
        </w:tc>
        <w:tc>
          <w:tcPr>
            <w:tcW w:w="3019" w:type="dxa"/>
            <w:vAlign w:val="center"/>
          </w:tcPr>
          <w:p w14:paraId="06A65475" w14:textId="6623D130" w:rsidR="003A3443" w:rsidRPr="00851497" w:rsidRDefault="003A3443" w:rsidP="00851497">
            <w:pPr>
              <w:spacing w:line="240" w:lineRule="auto"/>
              <w:rPr>
                <w:b/>
                <w:bCs/>
              </w:rPr>
            </w:pPr>
            <w:r w:rsidRPr="00851497">
              <w:rPr>
                <w:b/>
                <w:bCs/>
              </w:rPr>
              <w:t>Pillars</w:t>
            </w:r>
          </w:p>
        </w:tc>
        <w:tc>
          <w:tcPr>
            <w:tcW w:w="3019" w:type="dxa"/>
          </w:tcPr>
          <w:p w14:paraId="3602BAA9" w14:textId="6D89EC74" w:rsidR="003A3443" w:rsidRPr="00851497" w:rsidRDefault="003A3443" w:rsidP="00851497">
            <w:pPr>
              <w:pStyle w:val="NormalWeb"/>
              <w:rPr>
                <w:b/>
                <w:bCs/>
              </w:rPr>
            </w:pPr>
            <w:proofErr w:type="spellStart"/>
            <w:r w:rsidRPr="00851497">
              <w:rPr>
                <w:b/>
                <w:bCs/>
              </w:rPr>
              <w:t>Categories</w:t>
            </w:r>
            <w:proofErr w:type="spellEnd"/>
          </w:p>
        </w:tc>
      </w:tr>
      <w:tr w:rsidR="003A3443" w:rsidRPr="00851497" w14:paraId="68C2476D" w14:textId="77777777" w:rsidTr="009B7ACF">
        <w:trPr>
          <w:trHeight w:val="125"/>
          <w:jc w:val="center"/>
        </w:trPr>
        <w:tc>
          <w:tcPr>
            <w:tcW w:w="3018" w:type="dxa"/>
            <w:vMerge/>
            <w:vAlign w:val="center"/>
          </w:tcPr>
          <w:p w14:paraId="5DDBB8EB" w14:textId="771B9BCA" w:rsidR="003A3443" w:rsidRPr="00851497" w:rsidRDefault="003A3443" w:rsidP="00851497">
            <w:pPr>
              <w:spacing w:line="240" w:lineRule="auto"/>
            </w:pPr>
          </w:p>
        </w:tc>
        <w:tc>
          <w:tcPr>
            <w:tcW w:w="3019" w:type="dxa"/>
            <w:vMerge w:val="restart"/>
            <w:vAlign w:val="center"/>
          </w:tcPr>
          <w:p w14:paraId="5151EB28" w14:textId="376910A2" w:rsidR="003A3443" w:rsidRPr="00851497" w:rsidRDefault="003A3443" w:rsidP="00851497">
            <w:pPr>
              <w:spacing w:line="240" w:lineRule="auto"/>
            </w:pPr>
            <w:r w:rsidRPr="00851497">
              <w:t>Environmental</w:t>
            </w:r>
          </w:p>
        </w:tc>
        <w:tc>
          <w:tcPr>
            <w:tcW w:w="3019" w:type="dxa"/>
            <w:vAlign w:val="center"/>
          </w:tcPr>
          <w:p w14:paraId="4EB74AED" w14:textId="59C139D5" w:rsidR="003A3443" w:rsidRPr="00851497" w:rsidRDefault="003A3443" w:rsidP="00851497">
            <w:pPr>
              <w:pStyle w:val="NormalWeb"/>
            </w:pPr>
            <w:r w:rsidRPr="00851497">
              <w:t xml:space="preserve">Resource </w:t>
            </w:r>
            <w:proofErr w:type="spellStart"/>
            <w:r w:rsidRPr="00851497">
              <w:t>use</w:t>
            </w:r>
            <w:proofErr w:type="spellEnd"/>
          </w:p>
        </w:tc>
      </w:tr>
      <w:tr w:rsidR="003A3443" w:rsidRPr="00851497" w14:paraId="75DDBD11" w14:textId="77777777" w:rsidTr="009B7ACF">
        <w:trPr>
          <w:trHeight w:val="124"/>
          <w:jc w:val="center"/>
        </w:trPr>
        <w:tc>
          <w:tcPr>
            <w:tcW w:w="3018" w:type="dxa"/>
            <w:vMerge/>
            <w:vAlign w:val="center"/>
          </w:tcPr>
          <w:p w14:paraId="171E4753" w14:textId="77777777" w:rsidR="003A3443" w:rsidRPr="00851497" w:rsidRDefault="003A3443" w:rsidP="00851497">
            <w:pPr>
              <w:spacing w:line="240" w:lineRule="auto"/>
            </w:pPr>
          </w:p>
        </w:tc>
        <w:tc>
          <w:tcPr>
            <w:tcW w:w="3019" w:type="dxa"/>
            <w:vMerge/>
            <w:vAlign w:val="center"/>
          </w:tcPr>
          <w:p w14:paraId="7FA30002" w14:textId="77777777" w:rsidR="003A3443" w:rsidRPr="00851497" w:rsidRDefault="003A3443" w:rsidP="00851497">
            <w:pPr>
              <w:spacing w:line="240" w:lineRule="auto"/>
            </w:pPr>
          </w:p>
        </w:tc>
        <w:tc>
          <w:tcPr>
            <w:tcW w:w="3019" w:type="dxa"/>
            <w:vAlign w:val="center"/>
          </w:tcPr>
          <w:p w14:paraId="2B444A28" w14:textId="64D47605" w:rsidR="003A3443" w:rsidRPr="00851497" w:rsidRDefault="003A3443" w:rsidP="00851497">
            <w:pPr>
              <w:pStyle w:val="NormalWeb"/>
            </w:pPr>
            <w:proofErr w:type="spellStart"/>
            <w:r w:rsidRPr="00851497">
              <w:t>Emissions</w:t>
            </w:r>
            <w:proofErr w:type="spellEnd"/>
          </w:p>
        </w:tc>
      </w:tr>
      <w:tr w:rsidR="003A3443" w:rsidRPr="00851497" w14:paraId="3EE0CC79" w14:textId="77777777" w:rsidTr="009B7ACF">
        <w:trPr>
          <w:trHeight w:val="124"/>
          <w:jc w:val="center"/>
        </w:trPr>
        <w:tc>
          <w:tcPr>
            <w:tcW w:w="3018" w:type="dxa"/>
            <w:vMerge/>
            <w:vAlign w:val="center"/>
          </w:tcPr>
          <w:p w14:paraId="56AB1B87" w14:textId="77777777" w:rsidR="003A3443" w:rsidRPr="00851497" w:rsidRDefault="003A3443" w:rsidP="00851497">
            <w:pPr>
              <w:spacing w:line="240" w:lineRule="auto"/>
            </w:pPr>
          </w:p>
        </w:tc>
        <w:tc>
          <w:tcPr>
            <w:tcW w:w="3019" w:type="dxa"/>
            <w:vMerge/>
            <w:vAlign w:val="center"/>
          </w:tcPr>
          <w:p w14:paraId="7D4BE8AD" w14:textId="77777777" w:rsidR="003A3443" w:rsidRPr="00851497" w:rsidRDefault="003A3443" w:rsidP="00851497">
            <w:pPr>
              <w:spacing w:line="240" w:lineRule="auto"/>
            </w:pPr>
          </w:p>
        </w:tc>
        <w:tc>
          <w:tcPr>
            <w:tcW w:w="3019" w:type="dxa"/>
            <w:vAlign w:val="center"/>
          </w:tcPr>
          <w:p w14:paraId="642A1E7F" w14:textId="45C08F42" w:rsidR="003A3443" w:rsidRPr="00851497" w:rsidRDefault="003A3443" w:rsidP="00851497">
            <w:pPr>
              <w:pStyle w:val="NormalWeb"/>
            </w:pPr>
            <w:proofErr w:type="spellStart"/>
            <w:r w:rsidRPr="00851497">
              <w:t>Innovation</w:t>
            </w:r>
            <w:proofErr w:type="spellEnd"/>
          </w:p>
        </w:tc>
      </w:tr>
      <w:tr w:rsidR="003A3443" w:rsidRPr="00851497" w14:paraId="5B7840EB" w14:textId="77777777" w:rsidTr="009B7ACF">
        <w:trPr>
          <w:trHeight w:val="94"/>
          <w:jc w:val="center"/>
        </w:trPr>
        <w:tc>
          <w:tcPr>
            <w:tcW w:w="3018" w:type="dxa"/>
            <w:vMerge/>
            <w:vAlign w:val="center"/>
          </w:tcPr>
          <w:p w14:paraId="003B1EEE" w14:textId="77777777" w:rsidR="003A3443" w:rsidRPr="00851497" w:rsidRDefault="003A3443" w:rsidP="00851497">
            <w:pPr>
              <w:spacing w:line="240" w:lineRule="auto"/>
            </w:pPr>
          </w:p>
        </w:tc>
        <w:tc>
          <w:tcPr>
            <w:tcW w:w="3019" w:type="dxa"/>
            <w:vMerge w:val="restart"/>
            <w:vAlign w:val="center"/>
          </w:tcPr>
          <w:p w14:paraId="771E4D60" w14:textId="37ADB2C3" w:rsidR="003A3443" w:rsidRPr="00851497" w:rsidRDefault="003A3443" w:rsidP="00851497">
            <w:pPr>
              <w:spacing w:line="240" w:lineRule="auto"/>
            </w:pPr>
            <w:r w:rsidRPr="00851497">
              <w:t>Social</w:t>
            </w:r>
          </w:p>
        </w:tc>
        <w:tc>
          <w:tcPr>
            <w:tcW w:w="3019" w:type="dxa"/>
            <w:vAlign w:val="center"/>
          </w:tcPr>
          <w:p w14:paraId="608B4F90" w14:textId="1117DFB1" w:rsidR="003A3443" w:rsidRPr="00851497" w:rsidRDefault="003A3443" w:rsidP="00851497">
            <w:pPr>
              <w:pStyle w:val="NormalWeb"/>
              <w:rPr>
                <w:rFonts w:eastAsia="Calibri"/>
                <w:lang w:val="en-GB"/>
              </w:rPr>
            </w:pPr>
            <w:proofErr w:type="spellStart"/>
            <w:r w:rsidRPr="00851497">
              <w:t>Workforce</w:t>
            </w:r>
            <w:proofErr w:type="spellEnd"/>
          </w:p>
        </w:tc>
      </w:tr>
      <w:tr w:rsidR="003A3443" w:rsidRPr="00851497" w14:paraId="0B21F637" w14:textId="77777777" w:rsidTr="009B7ACF">
        <w:trPr>
          <w:trHeight w:val="93"/>
          <w:jc w:val="center"/>
        </w:trPr>
        <w:tc>
          <w:tcPr>
            <w:tcW w:w="3018" w:type="dxa"/>
            <w:vMerge/>
            <w:vAlign w:val="center"/>
          </w:tcPr>
          <w:p w14:paraId="21C9F0C1" w14:textId="77777777" w:rsidR="003A3443" w:rsidRPr="00851497" w:rsidRDefault="003A3443" w:rsidP="00851497">
            <w:pPr>
              <w:spacing w:line="240" w:lineRule="auto"/>
            </w:pPr>
          </w:p>
        </w:tc>
        <w:tc>
          <w:tcPr>
            <w:tcW w:w="3019" w:type="dxa"/>
            <w:vMerge/>
            <w:vAlign w:val="center"/>
          </w:tcPr>
          <w:p w14:paraId="5B25EBD6" w14:textId="77777777" w:rsidR="003A3443" w:rsidRPr="00851497" w:rsidRDefault="003A3443" w:rsidP="00851497">
            <w:pPr>
              <w:spacing w:line="240" w:lineRule="auto"/>
            </w:pPr>
          </w:p>
        </w:tc>
        <w:tc>
          <w:tcPr>
            <w:tcW w:w="3019" w:type="dxa"/>
            <w:vAlign w:val="center"/>
          </w:tcPr>
          <w:p w14:paraId="58D554C5" w14:textId="0744B0F8" w:rsidR="003A3443" w:rsidRPr="00851497" w:rsidRDefault="003A3443" w:rsidP="00851497">
            <w:pPr>
              <w:pStyle w:val="NormalWeb"/>
            </w:pPr>
            <w:r w:rsidRPr="00851497">
              <w:t xml:space="preserve">Human </w:t>
            </w:r>
            <w:proofErr w:type="spellStart"/>
            <w:r w:rsidRPr="00851497">
              <w:t>rights</w:t>
            </w:r>
            <w:proofErr w:type="spellEnd"/>
          </w:p>
        </w:tc>
      </w:tr>
      <w:tr w:rsidR="003A3443" w:rsidRPr="00851497" w14:paraId="3A30F839" w14:textId="77777777" w:rsidTr="009B7ACF">
        <w:trPr>
          <w:trHeight w:val="93"/>
          <w:jc w:val="center"/>
        </w:trPr>
        <w:tc>
          <w:tcPr>
            <w:tcW w:w="3018" w:type="dxa"/>
            <w:vMerge/>
            <w:vAlign w:val="center"/>
          </w:tcPr>
          <w:p w14:paraId="30EF5DFE" w14:textId="77777777" w:rsidR="003A3443" w:rsidRPr="00851497" w:rsidRDefault="003A3443" w:rsidP="00851497">
            <w:pPr>
              <w:spacing w:line="240" w:lineRule="auto"/>
            </w:pPr>
          </w:p>
        </w:tc>
        <w:tc>
          <w:tcPr>
            <w:tcW w:w="3019" w:type="dxa"/>
            <w:vMerge/>
            <w:vAlign w:val="center"/>
          </w:tcPr>
          <w:p w14:paraId="69F5B416" w14:textId="77777777" w:rsidR="003A3443" w:rsidRPr="00851497" w:rsidRDefault="003A3443" w:rsidP="00851497">
            <w:pPr>
              <w:spacing w:line="240" w:lineRule="auto"/>
            </w:pPr>
          </w:p>
        </w:tc>
        <w:tc>
          <w:tcPr>
            <w:tcW w:w="3019" w:type="dxa"/>
            <w:vAlign w:val="center"/>
          </w:tcPr>
          <w:p w14:paraId="120A8F87" w14:textId="731723B1" w:rsidR="003A3443" w:rsidRPr="00851497" w:rsidRDefault="003A3443" w:rsidP="00851497">
            <w:pPr>
              <w:pStyle w:val="NormalWeb"/>
            </w:pPr>
            <w:proofErr w:type="spellStart"/>
            <w:r w:rsidRPr="00851497">
              <w:t>Community</w:t>
            </w:r>
            <w:proofErr w:type="spellEnd"/>
          </w:p>
        </w:tc>
      </w:tr>
      <w:tr w:rsidR="003A3443" w:rsidRPr="00851497" w14:paraId="1077D82A" w14:textId="77777777" w:rsidTr="009B7ACF">
        <w:trPr>
          <w:trHeight w:val="93"/>
          <w:jc w:val="center"/>
        </w:trPr>
        <w:tc>
          <w:tcPr>
            <w:tcW w:w="3018" w:type="dxa"/>
            <w:vMerge/>
            <w:vAlign w:val="center"/>
          </w:tcPr>
          <w:p w14:paraId="03AF75CE" w14:textId="77777777" w:rsidR="003A3443" w:rsidRPr="00851497" w:rsidRDefault="003A3443" w:rsidP="00851497">
            <w:pPr>
              <w:spacing w:line="240" w:lineRule="auto"/>
            </w:pPr>
          </w:p>
        </w:tc>
        <w:tc>
          <w:tcPr>
            <w:tcW w:w="3019" w:type="dxa"/>
            <w:vMerge/>
            <w:vAlign w:val="center"/>
          </w:tcPr>
          <w:p w14:paraId="7D47242B" w14:textId="77777777" w:rsidR="003A3443" w:rsidRPr="00851497" w:rsidRDefault="003A3443" w:rsidP="00851497">
            <w:pPr>
              <w:spacing w:line="240" w:lineRule="auto"/>
            </w:pPr>
          </w:p>
        </w:tc>
        <w:tc>
          <w:tcPr>
            <w:tcW w:w="3019" w:type="dxa"/>
            <w:vAlign w:val="center"/>
          </w:tcPr>
          <w:p w14:paraId="2D4378A3" w14:textId="7145D356" w:rsidR="003A3443" w:rsidRPr="00851497" w:rsidRDefault="003A3443" w:rsidP="00851497">
            <w:pPr>
              <w:pStyle w:val="NormalWeb"/>
            </w:pPr>
            <w:r w:rsidRPr="00851497">
              <w:t xml:space="preserve">Product </w:t>
            </w:r>
            <w:proofErr w:type="spellStart"/>
            <w:r w:rsidRPr="00851497">
              <w:t>responsibility</w:t>
            </w:r>
            <w:proofErr w:type="spellEnd"/>
          </w:p>
        </w:tc>
      </w:tr>
      <w:tr w:rsidR="003A3443" w:rsidRPr="00851497" w14:paraId="7D82C4FD" w14:textId="77777777" w:rsidTr="009B7ACF">
        <w:trPr>
          <w:trHeight w:val="125"/>
          <w:jc w:val="center"/>
        </w:trPr>
        <w:tc>
          <w:tcPr>
            <w:tcW w:w="3018" w:type="dxa"/>
            <w:vMerge/>
            <w:vAlign w:val="center"/>
          </w:tcPr>
          <w:p w14:paraId="2F5F7002" w14:textId="77777777" w:rsidR="003A3443" w:rsidRPr="00851497" w:rsidRDefault="003A3443" w:rsidP="00851497">
            <w:pPr>
              <w:spacing w:line="240" w:lineRule="auto"/>
            </w:pPr>
          </w:p>
        </w:tc>
        <w:tc>
          <w:tcPr>
            <w:tcW w:w="3019" w:type="dxa"/>
            <w:vMerge w:val="restart"/>
            <w:vAlign w:val="center"/>
          </w:tcPr>
          <w:p w14:paraId="7B58C122" w14:textId="243D9FA3" w:rsidR="003A3443" w:rsidRPr="00851497" w:rsidRDefault="003A3443" w:rsidP="00851497">
            <w:pPr>
              <w:spacing w:line="240" w:lineRule="auto"/>
            </w:pPr>
            <w:r w:rsidRPr="00851497">
              <w:t>Governance</w:t>
            </w:r>
          </w:p>
        </w:tc>
        <w:tc>
          <w:tcPr>
            <w:tcW w:w="3019" w:type="dxa"/>
            <w:vAlign w:val="center"/>
          </w:tcPr>
          <w:p w14:paraId="16F62F56" w14:textId="1EC981C1" w:rsidR="003A3443" w:rsidRPr="00851497" w:rsidRDefault="003A3443" w:rsidP="00851497">
            <w:pPr>
              <w:pStyle w:val="NormalWeb"/>
            </w:pPr>
            <w:r w:rsidRPr="00851497">
              <w:t>Management</w:t>
            </w:r>
          </w:p>
        </w:tc>
      </w:tr>
      <w:tr w:rsidR="003A3443" w:rsidRPr="00851497" w14:paraId="4685B736" w14:textId="77777777" w:rsidTr="009B7ACF">
        <w:trPr>
          <w:trHeight w:val="124"/>
          <w:jc w:val="center"/>
        </w:trPr>
        <w:tc>
          <w:tcPr>
            <w:tcW w:w="3018" w:type="dxa"/>
            <w:vMerge/>
            <w:vAlign w:val="center"/>
          </w:tcPr>
          <w:p w14:paraId="217A79C1" w14:textId="77777777" w:rsidR="003A3443" w:rsidRPr="00851497" w:rsidRDefault="003A3443" w:rsidP="00851497">
            <w:pPr>
              <w:spacing w:line="240" w:lineRule="auto"/>
            </w:pPr>
          </w:p>
        </w:tc>
        <w:tc>
          <w:tcPr>
            <w:tcW w:w="3019" w:type="dxa"/>
            <w:vMerge/>
            <w:vAlign w:val="center"/>
          </w:tcPr>
          <w:p w14:paraId="729D9C61" w14:textId="77777777" w:rsidR="003A3443" w:rsidRPr="00851497" w:rsidRDefault="003A3443" w:rsidP="00851497">
            <w:pPr>
              <w:spacing w:line="240" w:lineRule="auto"/>
            </w:pPr>
          </w:p>
        </w:tc>
        <w:tc>
          <w:tcPr>
            <w:tcW w:w="3019" w:type="dxa"/>
            <w:vAlign w:val="center"/>
          </w:tcPr>
          <w:p w14:paraId="23852914" w14:textId="3383982A" w:rsidR="003A3443" w:rsidRPr="00851497" w:rsidRDefault="003A3443" w:rsidP="00851497">
            <w:pPr>
              <w:pStyle w:val="NormalWeb"/>
            </w:pPr>
            <w:proofErr w:type="spellStart"/>
            <w:r w:rsidRPr="00851497">
              <w:t>Shareholders</w:t>
            </w:r>
            <w:proofErr w:type="spellEnd"/>
          </w:p>
        </w:tc>
      </w:tr>
      <w:tr w:rsidR="003A3443" w:rsidRPr="00851497" w14:paraId="7A13F9CA" w14:textId="77777777" w:rsidTr="009B7ACF">
        <w:trPr>
          <w:trHeight w:val="124"/>
          <w:jc w:val="center"/>
        </w:trPr>
        <w:tc>
          <w:tcPr>
            <w:tcW w:w="3018" w:type="dxa"/>
            <w:vMerge/>
            <w:vAlign w:val="center"/>
          </w:tcPr>
          <w:p w14:paraId="12D26F62" w14:textId="77777777" w:rsidR="003A3443" w:rsidRPr="00851497" w:rsidRDefault="003A3443" w:rsidP="00851497">
            <w:pPr>
              <w:spacing w:line="240" w:lineRule="auto"/>
            </w:pPr>
          </w:p>
        </w:tc>
        <w:tc>
          <w:tcPr>
            <w:tcW w:w="3019" w:type="dxa"/>
            <w:vMerge/>
            <w:vAlign w:val="center"/>
          </w:tcPr>
          <w:p w14:paraId="2E07B122" w14:textId="77777777" w:rsidR="003A3443" w:rsidRPr="00851497" w:rsidRDefault="003A3443" w:rsidP="00851497">
            <w:pPr>
              <w:spacing w:line="240" w:lineRule="auto"/>
            </w:pPr>
          </w:p>
        </w:tc>
        <w:tc>
          <w:tcPr>
            <w:tcW w:w="3019" w:type="dxa"/>
            <w:vAlign w:val="center"/>
          </w:tcPr>
          <w:p w14:paraId="78233778" w14:textId="5A714EEF" w:rsidR="003A3443" w:rsidRPr="00851497" w:rsidRDefault="003A3443" w:rsidP="00851497">
            <w:pPr>
              <w:pStyle w:val="NormalWeb"/>
            </w:pPr>
            <w:r w:rsidRPr="00851497">
              <w:t xml:space="preserve">CSR </w:t>
            </w:r>
            <w:proofErr w:type="spellStart"/>
            <w:r w:rsidRPr="00851497">
              <w:t>strategy</w:t>
            </w:r>
            <w:proofErr w:type="spellEnd"/>
          </w:p>
        </w:tc>
      </w:tr>
    </w:tbl>
    <w:p w14:paraId="0481AC9D" w14:textId="2A6E2437" w:rsidR="002E5E04" w:rsidRDefault="002E5E04" w:rsidP="005B3402"/>
    <w:p w14:paraId="64495EE2" w14:textId="696714A1" w:rsidR="00520A07" w:rsidRDefault="00520A07" w:rsidP="005B3402">
      <w:r w:rsidRPr="00520A07">
        <w:t xml:space="preserve">As of 2021, Refinitiv's </w:t>
      </w:r>
      <w:r>
        <w:t>ESG scores</w:t>
      </w:r>
      <w:r w:rsidRPr="00520A07">
        <w:t xml:space="preserve"> are used to determine the companies to be included in the BIST Sustainability Index.</w:t>
      </w:r>
      <w:r>
        <w:t xml:space="preserve"> </w:t>
      </w:r>
      <w:r w:rsidRPr="00520A07">
        <w:t>In order to be included in the BIST Sustainability Index, companies are expected to meet all three of the conditions listed</w:t>
      </w:r>
      <w:r>
        <w:t>;</w:t>
      </w:r>
    </w:p>
    <w:p w14:paraId="328F44EC" w14:textId="3C161D68" w:rsidR="00520A07" w:rsidRDefault="00520A07" w:rsidP="005B3402">
      <w:pPr>
        <w:pStyle w:val="ListParagraph"/>
        <w:numPr>
          <w:ilvl w:val="0"/>
          <w:numId w:val="4"/>
        </w:numPr>
      </w:pPr>
      <w:r>
        <w:lastRenderedPageBreak/>
        <w:t>Overall ESG Score</w:t>
      </w:r>
      <w:r w:rsidR="00FF1822">
        <w:t xml:space="preserve"> </w:t>
      </w:r>
      <w:r w:rsidR="00FF1822" w:rsidRPr="00FF1822">
        <w:t>≥</w:t>
      </w:r>
      <w:r w:rsidR="00FF1822">
        <w:t xml:space="preserve"> 50</w:t>
      </w:r>
    </w:p>
    <w:p w14:paraId="4F710C2D" w14:textId="5F98C935" w:rsidR="00FF1822" w:rsidRPr="00520A07" w:rsidRDefault="00FF1822" w:rsidP="005B3402">
      <w:pPr>
        <w:pStyle w:val="ListParagraph"/>
        <w:numPr>
          <w:ilvl w:val="0"/>
          <w:numId w:val="4"/>
        </w:numPr>
      </w:pPr>
      <w:r>
        <w:t xml:space="preserve">Each pillar </w:t>
      </w:r>
      <w:r w:rsidRPr="00FF1822">
        <w:t>≥</w:t>
      </w:r>
      <w:r>
        <w:t xml:space="preserve">  40</w:t>
      </w:r>
    </w:p>
    <w:p w14:paraId="3EECFD2E" w14:textId="0E82D11E" w:rsidR="00FF1822" w:rsidRPr="00520A07" w:rsidRDefault="00FF1822" w:rsidP="005B3402">
      <w:pPr>
        <w:pStyle w:val="ListParagraph"/>
        <w:numPr>
          <w:ilvl w:val="0"/>
          <w:numId w:val="4"/>
        </w:numPr>
      </w:pPr>
      <w:r>
        <w:t xml:space="preserve">At least 8 of the 10 categories </w:t>
      </w:r>
      <w:r w:rsidRPr="00FF1822">
        <w:t>≥</w:t>
      </w:r>
      <w:r>
        <w:t xml:space="preserve">  26   [6]</w:t>
      </w:r>
    </w:p>
    <w:p w14:paraId="52E8E130" w14:textId="77777777" w:rsidR="00441BE8" w:rsidRDefault="000B4332" w:rsidP="005B3402">
      <w:r w:rsidRPr="000B4332">
        <w:t>Despite the growing number of studies on the impact of sustainability performance on financial performance in recent years, it is difficult to draw solid conclusions.</w:t>
      </w:r>
      <w:r w:rsidR="007E697A">
        <w:t xml:space="preserve"> </w:t>
      </w:r>
      <w:r w:rsidR="007E697A" w:rsidRPr="007E697A">
        <w:t>[11] show</w:t>
      </w:r>
      <w:r w:rsidR="007E697A">
        <w:t>s</w:t>
      </w:r>
      <w:r w:rsidR="007E697A" w:rsidRPr="007E697A">
        <w:t xml:space="preserve"> that sustainability performance has a positive impact on financial performance. In contrast, [12] </w:t>
      </w:r>
      <w:r w:rsidR="007E697A">
        <w:t>indicates</w:t>
      </w:r>
      <w:r w:rsidR="007E697A" w:rsidRPr="007E697A">
        <w:t xml:space="preserve"> that being a </w:t>
      </w:r>
      <w:r w:rsidR="007E697A">
        <w:t>“</w:t>
      </w:r>
      <w:r w:rsidR="007E697A" w:rsidRPr="007E697A">
        <w:t>good</w:t>
      </w:r>
      <w:r w:rsidR="007E697A">
        <w:t>”</w:t>
      </w:r>
      <w:r w:rsidR="007E697A" w:rsidRPr="007E697A">
        <w:t xml:space="preserve"> company is not rewarding for the market.</w:t>
      </w:r>
      <w:r w:rsidR="00164D38">
        <w:t xml:space="preserve"> </w:t>
      </w:r>
      <w:r w:rsidR="00164D38" w:rsidRPr="00164D38">
        <w:t xml:space="preserve">[13] </w:t>
      </w:r>
      <w:r w:rsidR="00164D38">
        <w:t xml:space="preserve">shows </w:t>
      </w:r>
      <w:r w:rsidR="00164D38" w:rsidRPr="00164D38">
        <w:t>that ESG's S pillar has an impact on financial performance. [14] demonstrate</w:t>
      </w:r>
      <w:r w:rsidR="00164D38">
        <w:t>s</w:t>
      </w:r>
      <w:r w:rsidR="00164D38" w:rsidRPr="00164D38">
        <w:t xml:space="preserve"> that the impact of a change in the ESG rating, rather than the rating itself, has a positive effect on financial performance. [15] indicate</w:t>
      </w:r>
      <w:r w:rsidR="00164D38">
        <w:t>s</w:t>
      </w:r>
      <w:r w:rsidR="00164D38" w:rsidRPr="00164D38">
        <w:t xml:space="preserve"> that there is a non-linear relationship between financial performance and sustainability performance.</w:t>
      </w:r>
    </w:p>
    <w:p w14:paraId="5BE6CBFE" w14:textId="6214CC27" w:rsidR="004A0548" w:rsidRPr="00441BE8" w:rsidRDefault="004A0548" w:rsidP="005B3402">
      <w:pPr>
        <w:rPr>
          <w:highlight w:val="yellow"/>
        </w:rPr>
      </w:pPr>
      <w:r w:rsidRPr="004A0548">
        <w:t xml:space="preserve">After the financial uncertainties caused by COVID-19, </w:t>
      </w:r>
      <w:r>
        <w:t>such arguments</w:t>
      </w:r>
      <w:r w:rsidRPr="004A0548">
        <w:t xml:space="preserve"> have been tested in crisis </w:t>
      </w:r>
      <w:r>
        <w:t>environment</w:t>
      </w:r>
      <w:r w:rsidRPr="004A0548">
        <w:t xml:space="preserve">. Many articles have been published examining the effects of ESG </w:t>
      </w:r>
      <w:r>
        <w:t>performance</w:t>
      </w:r>
      <w:r w:rsidRPr="004A0548">
        <w:t xml:space="preserve"> on financial performance during crisis periods. However, the results are uncertain, similar to the previous paragraph. [16] shows that high ESG performance reduces financial risk during financial crisis by using event study analysis. Similarly, [17] indicates that high ESG performance prevents stock price decline risk. In addition, [18] showed in the first quarter of 2020 that companies with high "ES" pillars had higher returns and lower volatility. [19] produced similar result</w:t>
      </w:r>
      <w:r>
        <w:t>s with [16],</w:t>
      </w:r>
      <w:r w:rsidRPr="004A0548">
        <w:t xml:space="preserve"> </w:t>
      </w:r>
      <w:r>
        <w:t xml:space="preserve">while </w:t>
      </w:r>
      <w:r w:rsidRPr="004A0548">
        <w:t>using panel data regression contrary to [16]. [20] used panel data regression like [17], [18], and [19] but found that high ESG performance had no explanatory effect on stock performance.</w:t>
      </w:r>
    </w:p>
    <w:p w14:paraId="7D191B42" w14:textId="4A7FB949" w:rsidR="00A622AD" w:rsidRPr="002D0AD1" w:rsidRDefault="00537D07" w:rsidP="005B3402">
      <w:pPr>
        <w:rPr>
          <w:b/>
          <w:bCs/>
          <w:shd w:val="clear" w:color="auto" w:fill="FFFFFF"/>
        </w:rPr>
      </w:pPr>
      <w:r w:rsidRPr="002D0AD1">
        <w:rPr>
          <w:shd w:val="clear" w:color="auto" w:fill="FFFFFF"/>
        </w:rPr>
        <w:t xml:space="preserve">Summary of literature review is given in </w:t>
      </w:r>
      <w:r w:rsidRPr="002D0AD1">
        <w:rPr>
          <w:b/>
          <w:bCs/>
          <w:shd w:val="clear" w:color="auto" w:fill="FFFFFF"/>
        </w:rPr>
        <w:t>Table 2.</w:t>
      </w:r>
    </w:p>
    <w:p w14:paraId="4693B16C" w14:textId="5A288F37" w:rsidR="00E02B8D" w:rsidRPr="00D057EF" w:rsidRDefault="00E02B8D" w:rsidP="009B7ACF">
      <w:pPr>
        <w:pStyle w:val="Caption"/>
        <w:jc w:val="center"/>
        <w:rPr>
          <w:b/>
          <w:bCs/>
          <w:i w:val="0"/>
          <w:iCs w:val="0"/>
          <w:color w:val="000000" w:themeColor="text1"/>
          <w:sz w:val="24"/>
          <w:szCs w:val="24"/>
        </w:rPr>
      </w:pPr>
      <w:r w:rsidRPr="00D057EF">
        <w:rPr>
          <w:b/>
          <w:bCs/>
          <w:i w:val="0"/>
          <w:iCs w:val="0"/>
          <w:color w:val="000000" w:themeColor="text1"/>
          <w:sz w:val="24"/>
          <w:szCs w:val="24"/>
        </w:rPr>
        <w:t xml:space="preserve">Table </w:t>
      </w:r>
      <w:r w:rsidRPr="00D057EF">
        <w:rPr>
          <w:b/>
          <w:bCs/>
          <w:i w:val="0"/>
          <w:iCs w:val="0"/>
          <w:color w:val="000000" w:themeColor="text1"/>
          <w:sz w:val="24"/>
          <w:szCs w:val="24"/>
        </w:rPr>
        <w:fldChar w:fldCharType="begin"/>
      </w:r>
      <w:r w:rsidRPr="00D057EF">
        <w:rPr>
          <w:b/>
          <w:bCs/>
          <w:i w:val="0"/>
          <w:iCs w:val="0"/>
          <w:color w:val="000000" w:themeColor="text1"/>
          <w:sz w:val="24"/>
          <w:szCs w:val="24"/>
        </w:rPr>
        <w:instrText xml:space="preserve"> SEQ Table \* ARABIC </w:instrText>
      </w:r>
      <w:r w:rsidRPr="00D057EF">
        <w:rPr>
          <w:b/>
          <w:bCs/>
          <w:i w:val="0"/>
          <w:iCs w:val="0"/>
          <w:color w:val="000000" w:themeColor="text1"/>
          <w:sz w:val="24"/>
          <w:szCs w:val="24"/>
        </w:rPr>
        <w:fldChar w:fldCharType="separate"/>
      </w:r>
      <w:r w:rsidR="00AD3F3F">
        <w:rPr>
          <w:b/>
          <w:bCs/>
          <w:i w:val="0"/>
          <w:iCs w:val="0"/>
          <w:noProof/>
          <w:color w:val="000000" w:themeColor="text1"/>
          <w:sz w:val="24"/>
          <w:szCs w:val="24"/>
        </w:rPr>
        <w:t>2</w:t>
      </w:r>
      <w:r w:rsidRPr="00D057EF">
        <w:rPr>
          <w:b/>
          <w:bCs/>
          <w:i w:val="0"/>
          <w:iCs w:val="0"/>
          <w:color w:val="000000" w:themeColor="text1"/>
          <w:sz w:val="24"/>
          <w:szCs w:val="24"/>
        </w:rPr>
        <w:fldChar w:fldCharType="end"/>
      </w:r>
      <w:r w:rsidRPr="00D057EF">
        <w:rPr>
          <w:b/>
          <w:bCs/>
          <w:i w:val="0"/>
          <w:iCs w:val="0"/>
          <w:color w:val="000000" w:themeColor="text1"/>
          <w:sz w:val="24"/>
          <w:szCs w:val="24"/>
        </w:rPr>
        <w:t>. Literature Review Table</w:t>
      </w:r>
    </w:p>
    <w:tbl>
      <w:tblPr>
        <w:tblW w:w="9776" w:type="dxa"/>
        <w:jc w:val="center"/>
        <w:tblCellMar>
          <w:left w:w="70" w:type="dxa"/>
          <w:right w:w="70" w:type="dxa"/>
        </w:tblCellMar>
        <w:tblLook w:val="04A0" w:firstRow="1" w:lastRow="0" w:firstColumn="1" w:lastColumn="0" w:noHBand="0" w:noVBand="1"/>
      </w:tblPr>
      <w:tblGrid>
        <w:gridCol w:w="1300"/>
        <w:gridCol w:w="1487"/>
        <w:gridCol w:w="3020"/>
        <w:gridCol w:w="3969"/>
      </w:tblGrid>
      <w:tr w:rsidR="00E02B8D" w:rsidRPr="00851497" w14:paraId="72E0CF34" w14:textId="77777777" w:rsidTr="009B7ACF">
        <w:trPr>
          <w:trHeight w:val="34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DD600" w14:textId="77777777" w:rsidR="00E02B8D" w:rsidRPr="00851497" w:rsidRDefault="00E02B8D" w:rsidP="00851497">
            <w:pPr>
              <w:spacing w:line="240" w:lineRule="auto"/>
              <w:rPr>
                <w:b/>
                <w:bCs/>
                <w:sz w:val="20"/>
                <w:szCs w:val="20"/>
                <w:lang w:val="tr-TR"/>
              </w:rPr>
            </w:pPr>
            <w:r w:rsidRPr="00851497">
              <w:rPr>
                <w:b/>
                <w:bCs/>
                <w:sz w:val="20"/>
                <w:szCs w:val="20"/>
                <w:lang w:val="tr-TR"/>
              </w:rPr>
              <w:lastRenderedPageBreak/>
              <w:t>Reference</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3E9787BB" w14:textId="77777777" w:rsidR="00E02B8D" w:rsidRPr="00851497" w:rsidRDefault="00E02B8D" w:rsidP="00851497">
            <w:pPr>
              <w:spacing w:line="240" w:lineRule="auto"/>
              <w:rPr>
                <w:b/>
                <w:bCs/>
                <w:sz w:val="20"/>
                <w:szCs w:val="20"/>
                <w:lang w:val="tr-TR"/>
              </w:rPr>
            </w:pPr>
            <w:proofErr w:type="spellStart"/>
            <w:r w:rsidRPr="00851497">
              <w:rPr>
                <w:b/>
                <w:bCs/>
                <w:sz w:val="20"/>
                <w:szCs w:val="20"/>
                <w:lang w:val="tr-TR"/>
              </w:rPr>
              <w:t>Methodology</w:t>
            </w:r>
            <w:proofErr w:type="spellEnd"/>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63EE095" w14:textId="77777777" w:rsidR="00E02B8D" w:rsidRPr="00851497" w:rsidRDefault="00E02B8D" w:rsidP="00851497">
            <w:pPr>
              <w:spacing w:line="240" w:lineRule="auto"/>
              <w:rPr>
                <w:b/>
                <w:bCs/>
                <w:sz w:val="20"/>
                <w:szCs w:val="20"/>
                <w:lang w:val="tr-TR"/>
              </w:rPr>
            </w:pPr>
            <w:proofErr w:type="spellStart"/>
            <w:r w:rsidRPr="00851497">
              <w:rPr>
                <w:b/>
                <w:bCs/>
                <w:sz w:val="20"/>
                <w:szCs w:val="20"/>
                <w:lang w:val="tr-TR"/>
              </w:rPr>
              <w:t>Purpose</w:t>
            </w:r>
            <w:proofErr w:type="spellEnd"/>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53A9131" w14:textId="77777777" w:rsidR="00E02B8D" w:rsidRPr="00851497" w:rsidRDefault="00E02B8D" w:rsidP="00851497">
            <w:pPr>
              <w:spacing w:line="240" w:lineRule="auto"/>
              <w:rPr>
                <w:b/>
                <w:bCs/>
                <w:sz w:val="20"/>
                <w:szCs w:val="20"/>
                <w:lang w:val="tr-TR"/>
              </w:rPr>
            </w:pPr>
            <w:proofErr w:type="spellStart"/>
            <w:r w:rsidRPr="00851497">
              <w:rPr>
                <w:b/>
                <w:bCs/>
                <w:sz w:val="20"/>
                <w:szCs w:val="20"/>
                <w:lang w:val="tr-TR"/>
              </w:rPr>
              <w:t>Contribution</w:t>
            </w:r>
            <w:proofErr w:type="spellEnd"/>
          </w:p>
        </w:tc>
      </w:tr>
      <w:tr w:rsidR="001801CF" w:rsidRPr="00851497" w14:paraId="45BFAF18" w14:textId="77777777" w:rsidTr="009B7ACF">
        <w:trPr>
          <w:trHeight w:val="1029"/>
          <w:jc w:val="center"/>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00509BAA" w14:textId="236BD7EF" w:rsidR="001801CF" w:rsidRPr="00851497" w:rsidRDefault="001801CF" w:rsidP="00851497">
            <w:pPr>
              <w:spacing w:line="240" w:lineRule="auto"/>
              <w:jc w:val="center"/>
              <w:rPr>
                <w:b/>
                <w:bCs/>
                <w:sz w:val="20"/>
                <w:szCs w:val="20"/>
                <w:lang w:val="tr-TR"/>
              </w:rPr>
            </w:pPr>
            <w:r>
              <w:rPr>
                <w:b/>
                <w:bCs/>
                <w:sz w:val="20"/>
                <w:szCs w:val="20"/>
                <w:lang w:val="tr-TR"/>
              </w:rPr>
              <w:t>[4]</w:t>
            </w:r>
          </w:p>
        </w:tc>
        <w:tc>
          <w:tcPr>
            <w:tcW w:w="1487" w:type="dxa"/>
            <w:tcBorders>
              <w:top w:val="nil"/>
              <w:left w:val="nil"/>
              <w:bottom w:val="single" w:sz="4" w:space="0" w:color="auto"/>
              <w:right w:val="single" w:sz="4" w:space="0" w:color="auto"/>
            </w:tcBorders>
            <w:shd w:val="clear" w:color="auto" w:fill="auto"/>
            <w:vAlign w:val="center"/>
          </w:tcPr>
          <w:p w14:paraId="2F707019" w14:textId="794D0EE0" w:rsidR="001801CF" w:rsidRPr="00851497" w:rsidRDefault="00B713BD" w:rsidP="00851497">
            <w:pPr>
              <w:spacing w:line="240" w:lineRule="auto"/>
              <w:rPr>
                <w:sz w:val="20"/>
                <w:szCs w:val="20"/>
              </w:rPr>
            </w:pPr>
            <w:r>
              <w:rPr>
                <w:sz w:val="20"/>
                <w:szCs w:val="20"/>
              </w:rPr>
              <w:t>Review</w:t>
            </w:r>
          </w:p>
        </w:tc>
        <w:tc>
          <w:tcPr>
            <w:tcW w:w="3020" w:type="dxa"/>
            <w:tcBorders>
              <w:top w:val="nil"/>
              <w:left w:val="nil"/>
              <w:bottom w:val="single" w:sz="4" w:space="0" w:color="auto"/>
              <w:right w:val="single" w:sz="4" w:space="0" w:color="auto"/>
            </w:tcBorders>
            <w:shd w:val="clear" w:color="auto" w:fill="auto"/>
            <w:vAlign w:val="center"/>
          </w:tcPr>
          <w:p w14:paraId="0789306D" w14:textId="748D668F" w:rsidR="001801CF" w:rsidRPr="00851497" w:rsidRDefault="00B713BD" w:rsidP="00851497">
            <w:pPr>
              <w:spacing w:line="240" w:lineRule="auto"/>
              <w:rPr>
                <w:sz w:val="20"/>
                <w:szCs w:val="20"/>
              </w:rPr>
            </w:pPr>
            <w:r>
              <w:rPr>
                <w:sz w:val="20"/>
                <w:szCs w:val="20"/>
              </w:rPr>
              <w:t>Explain ESG investments.</w:t>
            </w:r>
          </w:p>
        </w:tc>
        <w:tc>
          <w:tcPr>
            <w:tcW w:w="3969" w:type="dxa"/>
            <w:tcBorders>
              <w:top w:val="nil"/>
              <w:left w:val="nil"/>
              <w:bottom w:val="single" w:sz="4" w:space="0" w:color="auto"/>
              <w:right w:val="single" w:sz="4" w:space="0" w:color="auto"/>
            </w:tcBorders>
            <w:shd w:val="clear" w:color="auto" w:fill="auto"/>
            <w:vAlign w:val="center"/>
          </w:tcPr>
          <w:p w14:paraId="35137015" w14:textId="5F3C10FE" w:rsidR="001801CF" w:rsidRPr="00851497" w:rsidRDefault="00E319B4" w:rsidP="00851497">
            <w:pPr>
              <w:spacing w:line="240" w:lineRule="auto"/>
              <w:rPr>
                <w:sz w:val="20"/>
                <w:szCs w:val="20"/>
              </w:rPr>
            </w:pPr>
            <w:r>
              <w:rPr>
                <w:sz w:val="20"/>
                <w:szCs w:val="20"/>
              </w:rPr>
              <w:t>g</w:t>
            </w:r>
            <w:r w:rsidRPr="00E319B4">
              <w:rPr>
                <w:sz w:val="20"/>
                <w:szCs w:val="20"/>
              </w:rPr>
              <w:t xml:space="preserve">ives a general idea of ideas, evaluations and perform numerical examination to disclose the advancements and difficulties regarding the present state of </w:t>
            </w:r>
            <w:r>
              <w:rPr>
                <w:sz w:val="20"/>
                <w:szCs w:val="20"/>
              </w:rPr>
              <w:t xml:space="preserve">ESG </w:t>
            </w:r>
            <w:r w:rsidRPr="00E319B4">
              <w:rPr>
                <w:sz w:val="20"/>
                <w:szCs w:val="20"/>
              </w:rPr>
              <w:t>investing.</w:t>
            </w:r>
          </w:p>
        </w:tc>
      </w:tr>
      <w:tr w:rsidR="0037726A" w:rsidRPr="00851497" w14:paraId="1038AC1C" w14:textId="77777777" w:rsidTr="009B7ACF">
        <w:trPr>
          <w:trHeight w:val="1029"/>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579E5E4" w14:textId="0118664F" w:rsidR="0037726A" w:rsidRPr="00851497" w:rsidRDefault="0037726A" w:rsidP="00851497">
            <w:pPr>
              <w:spacing w:line="240" w:lineRule="auto"/>
              <w:jc w:val="center"/>
              <w:rPr>
                <w:b/>
                <w:bCs/>
                <w:sz w:val="20"/>
                <w:szCs w:val="20"/>
                <w:lang w:val="tr-TR"/>
              </w:rPr>
            </w:pPr>
            <w:r w:rsidRPr="00851497">
              <w:rPr>
                <w:b/>
                <w:bCs/>
                <w:sz w:val="20"/>
                <w:szCs w:val="20"/>
                <w:lang w:val="tr-TR"/>
              </w:rPr>
              <w:t>[7]</w:t>
            </w:r>
          </w:p>
        </w:tc>
        <w:tc>
          <w:tcPr>
            <w:tcW w:w="1487" w:type="dxa"/>
            <w:tcBorders>
              <w:top w:val="nil"/>
              <w:left w:val="nil"/>
              <w:bottom w:val="single" w:sz="4" w:space="0" w:color="auto"/>
              <w:right w:val="single" w:sz="4" w:space="0" w:color="auto"/>
            </w:tcBorders>
            <w:shd w:val="clear" w:color="auto" w:fill="auto"/>
            <w:vAlign w:val="center"/>
            <w:hideMark/>
          </w:tcPr>
          <w:p w14:paraId="20753A2A" w14:textId="572AFBB7" w:rsidR="0037726A" w:rsidRPr="00851497" w:rsidRDefault="0037726A" w:rsidP="00851497">
            <w:pPr>
              <w:spacing w:line="240" w:lineRule="auto"/>
              <w:rPr>
                <w:rFonts w:eastAsia="Times New Roman"/>
                <w:sz w:val="20"/>
                <w:szCs w:val="20"/>
                <w:lang w:val="tr-TR"/>
              </w:rPr>
            </w:pPr>
            <w:r w:rsidRPr="00851497">
              <w:rPr>
                <w:sz w:val="20"/>
                <w:szCs w:val="20"/>
              </w:rPr>
              <w:t>Meta regression analysis</w:t>
            </w:r>
          </w:p>
        </w:tc>
        <w:tc>
          <w:tcPr>
            <w:tcW w:w="3020" w:type="dxa"/>
            <w:tcBorders>
              <w:top w:val="nil"/>
              <w:left w:val="nil"/>
              <w:bottom w:val="single" w:sz="4" w:space="0" w:color="auto"/>
              <w:right w:val="single" w:sz="4" w:space="0" w:color="auto"/>
            </w:tcBorders>
            <w:shd w:val="clear" w:color="auto" w:fill="auto"/>
            <w:vAlign w:val="center"/>
            <w:hideMark/>
          </w:tcPr>
          <w:p w14:paraId="4C452B08" w14:textId="6440BB8E" w:rsidR="0037726A" w:rsidRPr="00851497" w:rsidRDefault="0037726A" w:rsidP="00851497">
            <w:pPr>
              <w:spacing w:line="240" w:lineRule="auto"/>
              <w:rPr>
                <w:rFonts w:eastAsia="Times New Roman"/>
                <w:sz w:val="20"/>
                <w:szCs w:val="20"/>
                <w:lang w:val="tr-TR"/>
              </w:rPr>
            </w:pPr>
            <w:r w:rsidRPr="00851497">
              <w:rPr>
                <w:sz w:val="20"/>
                <w:szCs w:val="20"/>
              </w:rPr>
              <w:t>Evaluating driving forces of carbon market risk</w:t>
            </w:r>
          </w:p>
        </w:tc>
        <w:tc>
          <w:tcPr>
            <w:tcW w:w="3969" w:type="dxa"/>
            <w:tcBorders>
              <w:top w:val="nil"/>
              <w:left w:val="nil"/>
              <w:bottom w:val="single" w:sz="4" w:space="0" w:color="auto"/>
              <w:right w:val="single" w:sz="4" w:space="0" w:color="auto"/>
            </w:tcBorders>
            <w:shd w:val="clear" w:color="auto" w:fill="auto"/>
            <w:vAlign w:val="center"/>
            <w:hideMark/>
          </w:tcPr>
          <w:p w14:paraId="1490C094" w14:textId="7961E56B" w:rsidR="0037726A" w:rsidRPr="00851497" w:rsidRDefault="00A33CA4" w:rsidP="00851497">
            <w:pPr>
              <w:spacing w:line="240" w:lineRule="auto"/>
              <w:rPr>
                <w:rFonts w:eastAsia="Times New Roman"/>
                <w:sz w:val="20"/>
                <w:szCs w:val="20"/>
                <w:lang w:val="tr-TR"/>
              </w:rPr>
            </w:pPr>
            <w:r w:rsidRPr="00A33CA4">
              <w:rPr>
                <w:sz w:val="20"/>
                <w:szCs w:val="20"/>
              </w:rPr>
              <w:t>Integrates both qualitative and quantitative research and employs Meta-Regression Analysis to investigate the causes of variation</w:t>
            </w:r>
          </w:p>
        </w:tc>
      </w:tr>
      <w:tr w:rsidR="0037726A" w:rsidRPr="00851497" w14:paraId="5042A8D6" w14:textId="77777777" w:rsidTr="009B7ACF">
        <w:trPr>
          <w:trHeight w:val="68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92F6671" w14:textId="11ECBCA5" w:rsidR="0037726A" w:rsidRPr="00851497" w:rsidRDefault="0037726A" w:rsidP="00851497">
            <w:pPr>
              <w:spacing w:line="240" w:lineRule="auto"/>
              <w:jc w:val="center"/>
              <w:rPr>
                <w:b/>
                <w:bCs/>
                <w:sz w:val="20"/>
                <w:szCs w:val="20"/>
                <w:lang w:val="tr-TR"/>
              </w:rPr>
            </w:pPr>
            <w:r w:rsidRPr="00851497">
              <w:rPr>
                <w:b/>
                <w:bCs/>
                <w:sz w:val="20"/>
                <w:szCs w:val="20"/>
                <w:lang w:val="tr-TR"/>
              </w:rPr>
              <w:t>[8]</w:t>
            </w:r>
          </w:p>
        </w:tc>
        <w:tc>
          <w:tcPr>
            <w:tcW w:w="1487" w:type="dxa"/>
            <w:tcBorders>
              <w:top w:val="nil"/>
              <w:left w:val="nil"/>
              <w:bottom w:val="single" w:sz="4" w:space="0" w:color="auto"/>
              <w:right w:val="single" w:sz="4" w:space="0" w:color="auto"/>
            </w:tcBorders>
            <w:shd w:val="clear" w:color="auto" w:fill="auto"/>
            <w:vAlign w:val="center"/>
            <w:hideMark/>
          </w:tcPr>
          <w:p w14:paraId="5A79E6B3" w14:textId="03F39E45" w:rsidR="0037726A" w:rsidRPr="00851497" w:rsidRDefault="0037726A" w:rsidP="00851497">
            <w:pPr>
              <w:spacing w:line="240" w:lineRule="auto"/>
              <w:rPr>
                <w:rFonts w:eastAsia="Times New Roman"/>
                <w:sz w:val="20"/>
                <w:szCs w:val="20"/>
                <w:lang w:val="tr-TR"/>
              </w:rPr>
            </w:pPr>
            <w:r w:rsidRPr="00851497">
              <w:rPr>
                <w:sz w:val="20"/>
                <w:szCs w:val="20"/>
              </w:rPr>
              <w:t>Regression based decomposition</w:t>
            </w:r>
          </w:p>
        </w:tc>
        <w:tc>
          <w:tcPr>
            <w:tcW w:w="3020" w:type="dxa"/>
            <w:tcBorders>
              <w:top w:val="nil"/>
              <w:left w:val="nil"/>
              <w:bottom w:val="single" w:sz="4" w:space="0" w:color="auto"/>
              <w:right w:val="single" w:sz="4" w:space="0" w:color="auto"/>
            </w:tcBorders>
            <w:shd w:val="clear" w:color="auto" w:fill="auto"/>
            <w:vAlign w:val="center"/>
            <w:hideMark/>
          </w:tcPr>
          <w:p w14:paraId="11943F37" w14:textId="340B5E56" w:rsidR="0037726A" w:rsidRPr="00851497" w:rsidRDefault="0037726A" w:rsidP="00851497">
            <w:pPr>
              <w:spacing w:line="240" w:lineRule="auto"/>
              <w:rPr>
                <w:rFonts w:eastAsia="Times New Roman"/>
                <w:sz w:val="20"/>
                <w:szCs w:val="20"/>
                <w:lang w:val="tr-TR"/>
              </w:rPr>
            </w:pPr>
            <w:r w:rsidRPr="00851497">
              <w:rPr>
                <w:sz w:val="20"/>
                <w:szCs w:val="20"/>
              </w:rPr>
              <w:t>How rating methodologies differ from each other</w:t>
            </w:r>
          </w:p>
        </w:tc>
        <w:tc>
          <w:tcPr>
            <w:tcW w:w="3969" w:type="dxa"/>
            <w:tcBorders>
              <w:top w:val="nil"/>
              <w:left w:val="nil"/>
              <w:bottom w:val="single" w:sz="4" w:space="0" w:color="auto"/>
              <w:right w:val="single" w:sz="4" w:space="0" w:color="auto"/>
            </w:tcBorders>
            <w:shd w:val="clear" w:color="auto" w:fill="auto"/>
            <w:vAlign w:val="center"/>
            <w:hideMark/>
          </w:tcPr>
          <w:p w14:paraId="7F49E0D1" w14:textId="3CC89781" w:rsidR="0037726A" w:rsidRPr="00851497" w:rsidRDefault="00A33CA4" w:rsidP="00851497">
            <w:pPr>
              <w:spacing w:line="240" w:lineRule="auto"/>
              <w:rPr>
                <w:rFonts w:eastAsia="Times New Roman"/>
                <w:sz w:val="20"/>
                <w:szCs w:val="20"/>
                <w:lang w:val="tr-TR"/>
              </w:rPr>
            </w:pPr>
            <w:r w:rsidRPr="00A33CA4">
              <w:rPr>
                <w:sz w:val="20"/>
                <w:szCs w:val="20"/>
              </w:rPr>
              <w:t>Measures the factors that lead to variations and develops a technique that makes it easier to handle dissimilarities in ESG evaluations.</w:t>
            </w:r>
          </w:p>
        </w:tc>
      </w:tr>
      <w:tr w:rsidR="0037726A" w:rsidRPr="00851497" w14:paraId="0E718887" w14:textId="77777777" w:rsidTr="009B7ACF">
        <w:trPr>
          <w:trHeight w:val="10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853FDC6" w14:textId="229C2A79" w:rsidR="0037726A" w:rsidRPr="00851497" w:rsidRDefault="0037726A" w:rsidP="00851497">
            <w:pPr>
              <w:spacing w:line="240" w:lineRule="auto"/>
              <w:jc w:val="center"/>
              <w:rPr>
                <w:b/>
                <w:bCs/>
                <w:sz w:val="20"/>
                <w:szCs w:val="20"/>
                <w:lang w:val="tr-TR"/>
              </w:rPr>
            </w:pPr>
            <w:r w:rsidRPr="00851497">
              <w:rPr>
                <w:b/>
                <w:bCs/>
                <w:sz w:val="20"/>
                <w:szCs w:val="20"/>
                <w:lang w:val="tr-TR"/>
              </w:rPr>
              <w:t>[9]</w:t>
            </w:r>
          </w:p>
        </w:tc>
        <w:tc>
          <w:tcPr>
            <w:tcW w:w="1487" w:type="dxa"/>
            <w:tcBorders>
              <w:top w:val="nil"/>
              <w:left w:val="nil"/>
              <w:bottom w:val="single" w:sz="4" w:space="0" w:color="auto"/>
              <w:right w:val="single" w:sz="4" w:space="0" w:color="auto"/>
            </w:tcBorders>
            <w:shd w:val="clear" w:color="auto" w:fill="auto"/>
            <w:vAlign w:val="center"/>
            <w:hideMark/>
          </w:tcPr>
          <w:p w14:paraId="393B5B37" w14:textId="4C26AE83" w:rsidR="0037726A" w:rsidRPr="00851497" w:rsidRDefault="0037726A" w:rsidP="00851497">
            <w:pPr>
              <w:spacing w:line="240" w:lineRule="auto"/>
              <w:rPr>
                <w:rFonts w:eastAsia="Times New Roman"/>
                <w:sz w:val="20"/>
                <w:szCs w:val="20"/>
                <w:lang w:val="tr-TR"/>
              </w:rPr>
            </w:pPr>
            <w:r w:rsidRPr="00851497">
              <w:rPr>
                <w:sz w:val="20"/>
                <w:szCs w:val="20"/>
              </w:rPr>
              <w:t>Descriptive Statistics</w:t>
            </w:r>
          </w:p>
        </w:tc>
        <w:tc>
          <w:tcPr>
            <w:tcW w:w="3020" w:type="dxa"/>
            <w:tcBorders>
              <w:top w:val="nil"/>
              <w:left w:val="nil"/>
              <w:bottom w:val="single" w:sz="4" w:space="0" w:color="auto"/>
              <w:right w:val="single" w:sz="4" w:space="0" w:color="auto"/>
            </w:tcBorders>
            <w:shd w:val="clear" w:color="auto" w:fill="auto"/>
            <w:vAlign w:val="center"/>
            <w:hideMark/>
          </w:tcPr>
          <w:p w14:paraId="35270EFE" w14:textId="73E69049" w:rsidR="0037726A" w:rsidRPr="00851497" w:rsidRDefault="0037726A" w:rsidP="00851497">
            <w:pPr>
              <w:spacing w:line="240" w:lineRule="auto"/>
              <w:rPr>
                <w:rFonts w:eastAsia="Times New Roman"/>
                <w:sz w:val="20"/>
                <w:szCs w:val="20"/>
                <w:lang w:val="tr-TR"/>
              </w:rPr>
            </w:pPr>
            <w:r w:rsidRPr="00851497">
              <w:rPr>
                <w:sz w:val="20"/>
                <w:szCs w:val="20"/>
              </w:rPr>
              <w:t>Investigating the outcomes of rewriting ESG scores</w:t>
            </w:r>
          </w:p>
        </w:tc>
        <w:tc>
          <w:tcPr>
            <w:tcW w:w="3969" w:type="dxa"/>
            <w:tcBorders>
              <w:top w:val="nil"/>
              <w:left w:val="nil"/>
              <w:bottom w:val="single" w:sz="4" w:space="0" w:color="auto"/>
              <w:right w:val="single" w:sz="4" w:space="0" w:color="auto"/>
            </w:tcBorders>
            <w:shd w:val="clear" w:color="auto" w:fill="auto"/>
            <w:vAlign w:val="center"/>
            <w:hideMark/>
          </w:tcPr>
          <w:p w14:paraId="36770116" w14:textId="5C5E5794" w:rsidR="0037726A" w:rsidRPr="00851497" w:rsidRDefault="00A33CA4" w:rsidP="00851497">
            <w:pPr>
              <w:spacing w:line="240" w:lineRule="auto"/>
              <w:rPr>
                <w:rFonts w:eastAsia="Times New Roman"/>
                <w:sz w:val="20"/>
                <w:szCs w:val="20"/>
                <w:lang w:val="tr-TR"/>
              </w:rPr>
            </w:pPr>
            <w:r w:rsidRPr="00A33CA4">
              <w:rPr>
                <w:sz w:val="20"/>
                <w:szCs w:val="20"/>
              </w:rPr>
              <w:t>Tracks the evolution of historical ESG scores of Refinitiv ESG over time.</w:t>
            </w:r>
          </w:p>
        </w:tc>
      </w:tr>
      <w:tr w:rsidR="0037726A" w:rsidRPr="00851497" w14:paraId="18A85D17" w14:textId="77777777" w:rsidTr="009B7ACF">
        <w:trPr>
          <w:trHeight w:val="136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48F6D39" w14:textId="228DF35F" w:rsidR="0037726A" w:rsidRPr="00851497" w:rsidRDefault="0037726A" w:rsidP="00851497">
            <w:pPr>
              <w:spacing w:line="240" w:lineRule="auto"/>
              <w:jc w:val="center"/>
              <w:rPr>
                <w:b/>
                <w:bCs/>
                <w:sz w:val="20"/>
                <w:szCs w:val="20"/>
                <w:lang w:val="tr-TR"/>
              </w:rPr>
            </w:pPr>
            <w:r w:rsidRPr="00851497">
              <w:rPr>
                <w:b/>
                <w:bCs/>
                <w:sz w:val="20"/>
                <w:szCs w:val="20"/>
                <w:lang w:val="tr-TR"/>
              </w:rPr>
              <w:t>[10]</w:t>
            </w:r>
          </w:p>
        </w:tc>
        <w:tc>
          <w:tcPr>
            <w:tcW w:w="1487" w:type="dxa"/>
            <w:tcBorders>
              <w:top w:val="nil"/>
              <w:left w:val="nil"/>
              <w:bottom w:val="single" w:sz="4" w:space="0" w:color="auto"/>
              <w:right w:val="single" w:sz="4" w:space="0" w:color="auto"/>
            </w:tcBorders>
            <w:shd w:val="clear" w:color="auto" w:fill="auto"/>
            <w:vAlign w:val="center"/>
            <w:hideMark/>
          </w:tcPr>
          <w:p w14:paraId="7D5DF6CD" w14:textId="4966C4A9" w:rsidR="0037726A" w:rsidRPr="00851497" w:rsidRDefault="0037726A" w:rsidP="00851497">
            <w:pPr>
              <w:spacing w:line="240" w:lineRule="auto"/>
              <w:rPr>
                <w:rFonts w:eastAsia="Times New Roman"/>
                <w:sz w:val="20"/>
                <w:szCs w:val="20"/>
                <w:lang w:val="tr-TR"/>
              </w:rPr>
            </w:pPr>
            <w:r w:rsidRPr="00851497">
              <w:rPr>
                <w:sz w:val="20"/>
                <w:szCs w:val="20"/>
              </w:rPr>
              <w:t>Derivative free optimization</w:t>
            </w:r>
          </w:p>
        </w:tc>
        <w:tc>
          <w:tcPr>
            <w:tcW w:w="3020" w:type="dxa"/>
            <w:tcBorders>
              <w:top w:val="nil"/>
              <w:left w:val="nil"/>
              <w:bottom w:val="single" w:sz="4" w:space="0" w:color="auto"/>
              <w:right w:val="single" w:sz="4" w:space="0" w:color="auto"/>
            </w:tcBorders>
            <w:shd w:val="clear" w:color="auto" w:fill="auto"/>
            <w:vAlign w:val="center"/>
            <w:hideMark/>
          </w:tcPr>
          <w:p w14:paraId="18D2012C" w14:textId="6DFD6AFD" w:rsidR="0037726A" w:rsidRPr="00851497" w:rsidRDefault="0037726A" w:rsidP="00851497">
            <w:pPr>
              <w:spacing w:line="240" w:lineRule="auto"/>
              <w:rPr>
                <w:rFonts w:eastAsia="Times New Roman"/>
                <w:sz w:val="20"/>
                <w:szCs w:val="20"/>
                <w:lang w:val="tr-TR"/>
              </w:rPr>
            </w:pPr>
            <w:r w:rsidRPr="00851497">
              <w:rPr>
                <w:sz w:val="20"/>
                <w:szCs w:val="20"/>
              </w:rPr>
              <w:t>Studying the role of missing ESG information as a potential source for a release of new ESG information with impacts on ESG scores in the future.</w:t>
            </w:r>
          </w:p>
        </w:tc>
        <w:tc>
          <w:tcPr>
            <w:tcW w:w="3969" w:type="dxa"/>
            <w:tcBorders>
              <w:top w:val="nil"/>
              <w:left w:val="nil"/>
              <w:bottom w:val="single" w:sz="4" w:space="0" w:color="auto"/>
              <w:right w:val="single" w:sz="4" w:space="0" w:color="auto"/>
            </w:tcBorders>
            <w:shd w:val="clear" w:color="auto" w:fill="auto"/>
            <w:vAlign w:val="center"/>
            <w:hideMark/>
          </w:tcPr>
          <w:p w14:paraId="4B83C1A3" w14:textId="12B4ABEB" w:rsidR="0037726A" w:rsidRPr="00851497" w:rsidRDefault="00206126" w:rsidP="00851497">
            <w:pPr>
              <w:spacing w:line="240" w:lineRule="auto"/>
              <w:rPr>
                <w:rFonts w:eastAsia="Times New Roman"/>
                <w:sz w:val="20"/>
                <w:szCs w:val="20"/>
                <w:lang w:val="tr-TR"/>
              </w:rPr>
            </w:pPr>
            <w:r w:rsidRPr="00206126">
              <w:rPr>
                <w:sz w:val="20"/>
                <w:szCs w:val="20"/>
              </w:rPr>
              <w:t>Introduces an additional component referred to as the Missing (M) pillar and suggests an optimization approach to connect ESG scores and risk indicators.</w:t>
            </w:r>
          </w:p>
        </w:tc>
      </w:tr>
      <w:tr w:rsidR="00232BE3" w:rsidRPr="00851497" w14:paraId="1D188FAB" w14:textId="77777777" w:rsidTr="009B7ACF">
        <w:trPr>
          <w:trHeight w:val="10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E07EACA" w14:textId="2EE8B2BB" w:rsidR="00232BE3" w:rsidRPr="00851497" w:rsidRDefault="00232BE3" w:rsidP="00851497">
            <w:pPr>
              <w:spacing w:line="240" w:lineRule="auto"/>
              <w:jc w:val="center"/>
              <w:rPr>
                <w:b/>
                <w:bCs/>
                <w:sz w:val="20"/>
                <w:szCs w:val="20"/>
                <w:lang w:val="tr-TR"/>
              </w:rPr>
            </w:pPr>
            <w:r w:rsidRPr="00851497">
              <w:rPr>
                <w:b/>
                <w:bCs/>
                <w:sz w:val="20"/>
                <w:szCs w:val="20"/>
                <w:lang w:val="tr-TR"/>
              </w:rPr>
              <w:t>[11]</w:t>
            </w:r>
          </w:p>
        </w:tc>
        <w:tc>
          <w:tcPr>
            <w:tcW w:w="1487" w:type="dxa"/>
            <w:tcBorders>
              <w:top w:val="nil"/>
              <w:left w:val="nil"/>
              <w:bottom w:val="single" w:sz="4" w:space="0" w:color="auto"/>
              <w:right w:val="single" w:sz="4" w:space="0" w:color="auto"/>
            </w:tcBorders>
            <w:shd w:val="clear" w:color="auto" w:fill="auto"/>
            <w:vAlign w:val="center"/>
            <w:hideMark/>
          </w:tcPr>
          <w:p w14:paraId="60C6FA08" w14:textId="044DE721" w:rsidR="00232BE3" w:rsidRPr="00851497" w:rsidRDefault="00232BE3" w:rsidP="00851497">
            <w:pPr>
              <w:spacing w:line="240" w:lineRule="auto"/>
              <w:rPr>
                <w:sz w:val="20"/>
                <w:szCs w:val="20"/>
              </w:rPr>
            </w:pPr>
            <w:r w:rsidRPr="00851497">
              <w:rPr>
                <w:sz w:val="20"/>
                <w:szCs w:val="20"/>
              </w:rPr>
              <w:t>Fixed-effect regression and a weighted least squares model</w:t>
            </w:r>
          </w:p>
        </w:tc>
        <w:tc>
          <w:tcPr>
            <w:tcW w:w="3020" w:type="dxa"/>
            <w:tcBorders>
              <w:top w:val="nil"/>
              <w:left w:val="nil"/>
              <w:bottom w:val="single" w:sz="4" w:space="0" w:color="auto"/>
              <w:right w:val="single" w:sz="4" w:space="0" w:color="auto"/>
            </w:tcBorders>
            <w:shd w:val="clear" w:color="auto" w:fill="auto"/>
            <w:vAlign w:val="center"/>
            <w:hideMark/>
          </w:tcPr>
          <w:p w14:paraId="4C72FD04" w14:textId="4F2AD1D5" w:rsidR="00232BE3" w:rsidRPr="00851497" w:rsidRDefault="00232BE3" w:rsidP="00851497">
            <w:pPr>
              <w:spacing w:line="240" w:lineRule="auto"/>
              <w:rPr>
                <w:sz w:val="20"/>
                <w:szCs w:val="20"/>
              </w:rPr>
            </w:pPr>
            <w:r w:rsidRPr="00851497">
              <w:rPr>
                <w:sz w:val="20"/>
                <w:szCs w:val="20"/>
              </w:rPr>
              <w:t>Investigates the relationship between a company’s ESG performance and its financial performance.</w:t>
            </w:r>
          </w:p>
        </w:tc>
        <w:tc>
          <w:tcPr>
            <w:tcW w:w="3969" w:type="dxa"/>
            <w:tcBorders>
              <w:top w:val="nil"/>
              <w:left w:val="nil"/>
              <w:bottom w:val="single" w:sz="4" w:space="0" w:color="auto"/>
              <w:right w:val="single" w:sz="4" w:space="0" w:color="auto"/>
            </w:tcBorders>
            <w:shd w:val="clear" w:color="auto" w:fill="auto"/>
            <w:vAlign w:val="center"/>
            <w:hideMark/>
          </w:tcPr>
          <w:p w14:paraId="726162CF" w14:textId="4BFECD1A" w:rsidR="00232BE3" w:rsidRPr="00851497" w:rsidRDefault="00206126" w:rsidP="00851497">
            <w:pPr>
              <w:spacing w:line="240" w:lineRule="auto"/>
              <w:rPr>
                <w:sz w:val="20"/>
                <w:szCs w:val="20"/>
              </w:rPr>
            </w:pPr>
            <w:r w:rsidRPr="00206126">
              <w:rPr>
                <w:sz w:val="20"/>
                <w:szCs w:val="20"/>
              </w:rPr>
              <w:t>Offers empirical data to clarify conflicting findings in existing literature</w:t>
            </w:r>
          </w:p>
        </w:tc>
      </w:tr>
      <w:tr w:rsidR="00232BE3" w:rsidRPr="00851497" w14:paraId="03F72061" w14:textId="77777777" w:rsidTr="009B7ACF">
        <w:trPr>
          <w:trHeight w:val="68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24C5F53" w14:textId="742D9149" w:rsidR="00232BE3" w:rsidRPr="00851497" w:rsidRDefault="00232BE3" w:rsidP="00851497">
            <w:pPr>
              <w:spacing w:line="240" w:lineRule="auto"/>
              <w:jc w:val="center"/>
              <w:rPr>
                <w:b/>
                <w:bCs/>
                <w:sz w:val="20"/>
                <w:szCs w:val="20"/>
                <w:lang w:val="tr-TR"/>
              </w:rPr>
            </w:pPr>
            <w:r w:rsidRPr="00851497">
              <w:rPr>
                <w:b/>
                <w:bCs/>
                <w:sz w:val="20"/>
                <w:szCs w:val="20"/>
                <w:lang w:val="tr-TR"/>
              </w:rPr>
              <w:t>[12]</w:t>
            </w:r>
          </w:p>
        </w:tc>
        <w:tc>
          <w:tcPr>
            <w:tcW w:w="1487" w:type="dxa"/>
            <w:tcBorders>
              <w:top w:val="nil"/>
              <w:left w:val="nil"/>
              <w:bottom w:val="single" w:sz="4" w:space="0" w:color="auto"/>
              <w:right w:val="single" w:sz="4" w:space="0" w:color="auto"/>
            </w:tcBorders>
            <w:shd w:val="clear" w:color="auto" w:fill="auto"/>
            <w:vAlign w:val="center"/>
            <w:hideMark/>
          </w:tcPr>
          <w:p w14:paraId="56F1C293" w14:textId="49E35B28" w:rsidR="00232BE3" w:rsidRPr="00851497" w:rsidRDefault="00232BE3" w:rsidP="00851497">
            <w:pPr>
              <w:spacing w:line="240" w:lineRule="auto"/>
              <w:rPr>
                <w:sz w:val="20"/>
                <w:szCs w:val="20"/>
              </w:rPr>
            </w:pPr>
            <w:r w:rsidRPr="00851497">
              <w:rPr>
                <w:sz w:val="20"/>
                <w:szCs w:val="20"/>
              </w:rPr>
              <w:t>Review</w:t>
            </w:r>
          </w:p>
        </w:tc>
        <w:tc>
          <w:tcPr>
            <w:tcW w:w="3020" w:type="dxa"/>
            <w:tcBorders>
              <w:top w:val="nil"/>
              <w:left w:val="nil"/>
              <w:bottom w:val="single" w:sz="4" w:space="0" w:color="auto"/>
              <w:right w:val="single" w:sz="4" w:space="0" w:color="auto"/>
            </w:tcBorders>
            <w:shd w:val="clear" w:color="auto" w:fill="auto"/>
            <w:vAlign w:val="center"/>
            <w:hideMark/>
          </w:tcPr>
          <w:p w14:paraId="13C26FED" w14:textId="7D7BD2C9" w:rsidR="00232BE3" w:rsidRPr="00851497" w:rsidRDefault="00232BE3" w:rsidP="00851497">
            <w:pPr>
              <w:spacing w:line="240" w:lineRule="auto"/>
              <w:rPr>
                <w:sz w:val="20"/>
                <w:szCs w:val="20"/>
              </w:rPr>
            </w:pPr>
            <w:r w:rsidRPr="00851497">
              <w:rPr>
                <w:sz w:val="20"/>
                <w:szCs w:val="20"/>
              </w:rPr>
              <w:t>Investigates the interaction between ESG related investment criteria and value</w:t>
            </w:r>
          </w:p>
        </w:tc>
        <w:tc>
          <w:tcPr>
            <w:tcW w:w="3969" w:type="dxa"/>
            <w:tcBorders>
              <w:top w:val="nil"/>
              <w:left w:val="nil"/>
              <w:bottom w:val="single" w:sz="4" w:space="0" w:color="auto"/>
              <w:right w:val="single" w:sz="4" w:space="0" w:color="auto"/>
            </w:tcBorders>
            <w:shd w:val="clear" w:color="auto" w:fill="auto"/>
            <w:vAlign w:val="center"/>
            <w:hideMark/>
          </w:tcPr>
          <w:p w14:paraId="254C8781" w14:textId="5930247D" w:rsidR="00232BE3" w:rsidRPr="00851497" w:rsidRDefault="00206126" w:rsidP="00851497">
            <w:pPr>
              <w:spacing w:line="240" w:lineRule="auto"/>
              <w:rPr>
                <w:sz w:val="20"/>
                <w:szCs w:val="20"/>
              </w:rPr>
            </w:pPr>
            <w:r w:rsidRPr="00206126">
              <w:rPr>
                <w:sz w:val="20"/>
                <w:szCs w:val="20"/>
              </w:rPr>
              <w:t>Constructs a structure based on value and key determinants</w:t>
            </w:r>
          </w:p>
        </w:tc>
      </w:tr>
      <w:tr w:rsidR="00232BE3" w:rsidRPr="00851497" w14:paraId="6CF5FA02" w14:textId="77777777" w:rsidTr="009B7ACF">
        <w:trPr>
          <w:trHeight w:val="136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AA1EBC6" w14:textId="09F88346" w:rsidR="00232BE3" w:rsidRPr="00851497" w:rsidRDefault="00232BE3" w:rsidP="00851497">
            <w:pPr>
              <w:spacing w:line="240" w:lineRule="auto"/>
              <w:jc w:val="center"/>
              <w:rPr>
                <w:b/>
                <w:bCs/>
                <w:sz w:val="20"/>
                <w:szCs w:val="20"/>
                <w:lang w:val="tr-TR"/>
              </w:rPr>
            </w:pPr>
            <w:r w:rsidRPr="00851497">
              <w:rPr>
                <w:b/>
                <w:bCs/>
                <w:sz w:val="20"/>
                <w:szCs w:val="20"/>
                <w:lang w:val="tr-TR"/>
              </w:rPr>
              <w:t>[13]</w:t>
            </w:r>
          </w:p>
        </w:tc>
        <w:tc>
          <w:tcPr>
            <w:tcW w:w="1487" w:type="dxa"/>
            <w:tcBorders>
              <w:top w:val="nil"/>
              <w:left w:val="nil"/>
              <w:bottom w:val="single" w:sz="4" w:space="0" w:color="auto"/>
              <w:right w:val="single" w:sz="4" w:space="0" w:color="auto"/>
            </w:tcBorders>
            <w:shd w:val="clear" w:color="auto" w:fill="auto"/>
            <w:vAlign w:val="center"/>
            <w:hideMark/>
          </w:tcPr>
          <w:p w14:paraId="70DEF028" w14:textId="1B989660" w:rsidR="00232BE3" w:rsidRPr="00851497" w:rsidRDefault="00232BE3" w:rsidP="00851497">
            <w:pPr>
              <w:spacing w:line="240" w:lineRule="auto"/>
              <w:rPr>
                <w:sz w:val="20"/>
                <w:szCs w:val="20"/>
              </w:rPr>
            </w:pPr>
            <w:proofErr w:type="spellStart"/>
            <w:r w:rsidRPr="00851497">
              <w:rPr>
                <w:sz w:val="20"/>
                <w:szCs w:val="20"/>
              </w:rPr>
              <w:t>fsQCA</w:t>
            </w:r>
            <w:proofErr w:type="spellEnd"/>
            <w:r w:rsidRPr="00851497">
              <w:rPr>
                <w:sz w:val="20"/>
                <w:szCs w:val="20"/>
              </w:rPr>
              <w:t xml:space="preserve"> (longitudinal fuzzy set qualitative comparative analysis)</w:t>
            </w:r>
          </w:p>
        </w:tc>
        <w:tc>
          <w:tcPr>
            <w:tcW w:w="3020" w:type="dxa"/>
            <w:tcBorders>
              <w:top w:val="nil"/>
              <w:left w:val="nil"/>
              <w:bottom w:val="single" w:sz="4" w:space="0" w:color="auto"/>
              <w:right w:val="single" w:sz="4" w:space="0" w:color="auto"/>
            </w:tcBorders>
            <w:shd w:val="clear" w:color="auto" w:fill="auto"/>
            <w:vAlign w:val="center"/>
            <w:hideMark/>
          </w:tcPr>
          <w:p w14:paraId="33B01795" w14:textId="095D2AA5" w:rsidR="00232BE3" w:rsidRPr="00851497" w:rsidRDefault="00232BE3" w:rsidP="00851497">
            <w:pPr>
              <w:spacing w:line="240" w:lineRule="auto"/>
              <w:rPr>
                <w:sz w:val="20"/>
                <w:szCs w:val="20"/>
              </w:rPr>
            </w:pPr>
            <w:r w:rsidRPr="00851497">
              <w:rPr>
                <w:sz w:val="20"/>
                <w:szCs w:val="20"/>
              </w:rPr>
              <w:t>How the different configurations of the ESG pillars impact financial performance</w:t>
            </w:r>
          </w:p>
        </w:tc>
        <w:tc>
          <w:tcPr>
            <w:tcW w:w="3969" w:type="dxa"/>
            <w:tcBorders>
              <w:top w:val="nil"/>
              <w:left w:val="nil"/>
              <w:bottom w:val="single" w:sz="4" w:space="0" w:color="auto"/>
              <w:right w:val="single" w:sz="4" w:space="0" w:color="auto"/>
            </w:tcBorders>
            <w:shd w:val="clear" w:color="auto" w:fill="auto"/>
            <w:vAlign w:val="center"/>
            <w:hideMark/>
          </w:tcPr>
          <w:p w14:paraId="05857C16" w14:textId="66BCED90" w:rsidR="00232BE3" w:rsidRPr="00851497" w:rsidRDefault="00206126" w:rsidP="00851497">
            <w:pPr>
              <w:spacing w:line="240" w:lineRule="auto"/>
              <w:rPr>
                <w:sz w:val="20"/>
                <w:szCs w:val="20"/>
              </w:rPr>
            </w:pPr>
            <w:r w:rsidRPr="00206126">
              <w:rPr>
                <w:sz w:val="20"/>
                <w:szCs w:val="20"/>
              </w:rPr>
              <w:t xml:space="preserve">Assists emerging energy firms in enhancing their corporate social responsibility practices and increasing the use of </w:t>
            </w:r>
            <w:proofErr w:type="spellStart"/>
            <w:r w:rsidRPr="00206126">
              <w:rPr>
                <w:sz w:val="20"/>
                <w:szCs w:val="20"/>
              </w:rPr>
              <w:t>fsQCA</w:t>
            </w:r>
            <w:proofErr w:type="spellEnd"/>
            <w:r w:rsidRPr="00206126">
              <w:rPr>
                <w:sz w:val="20"/>
                <w:szCs w:val="20"/>
              </w:rPr>
              <w:t xml:space="preserve"> in long-term datasets.</w:t>
            </w:r>
          </w:p>
        </w:tc>
      </w:tr>
      <w:tr w:rsidR="00232BE3" w:rsidRPr="00851497" w14:paraId="4F5A1E1A" w14:textId="77777777" w:rsidTr="009B7ACF">
        <w:trPr>
          <w:trHeight w:val="10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3850A66" w14:textId="6C419015" w:rsidR="00232BE3" w:rsidRPr="00851497" w:rsidRDefault="00232BE3" w:rsidP="00851497">
            <w:pPr>
              <w:spacing w:line="240" w:lineRule="auto"/>
              <w:jc w:val="center"/>
              <w:rPr>
                <w:b/>
                <w:bCs/>
                <w:sz w:val="20"/>
                <w:szCs w:val="20"/>
                <w:lang w:val="tr-TR"/>
              </w:rPr>
            </w:pPr>
            <w:r w:rsidRPr="00851497">
              <w:rPr>
                <w:b/>
                <w:bCs/>
                <w:sz w:val="20"/>
                <w:szCs w:val="20"/>
                <w:lang w:val="tr-TR"/>
              </w:rPr>
              <w:t>[14]</w:t>
            </w:r>
          </w:p>
        </w:tc>
        <w:tc>
          <w:tcPr>
            <w:tcW w:w="1487" w:type="dxa"/>
            <w:tcBorders>
              <w:top w:val="nil"/>
              <w:left w:val="nil"/>
              <w:bottom w:val="single" w:sz="4" w:space="0" w:color="auto"/>
              <w:right w:val="single" w:sz="4" w:space="0" w:color="auto"/>
            </w:tcBorders>
            <w:shd w:val="clear" w:color="auto" w:fill="auto"/>
            <w:vAlign w:val="center"/>
            <w:hideMark/>
          </w:tcPr>
          <w:p w14:paraId="11ECC5A5" w14:textId="4EDFCDEA" w:rsidR="00232BE3" w:rsidRPr="00851497" w:rsidRDefault="00232BE3" w:rsidP="00851497">
            <w:pPr>
              <w:spacing w:line="240" w:lineRule="auto"/>
              <w:rPr>
                <w:sz w:val="20"/>
                <w:szCs w:val="20"/>
              </w:rPr>
            </w:pPr>
            <w:r w:rsidRPr="00851497">
              <w:rPr>
                <w:sz w:val="20"/>
                <w:szCs w:val="20"/>
              </w:rPr>
              <w:t>Calendar-time portfolio approach</w:t>
            </w:r>
          </w:p>
        </w:tc>
        <w:tc>
          <w:tcPr>
            <w:tcW w:w="3020" w:type="dxa"/>
            <w:tcBorders>
              <w:top w:val="nil"/>
              <w:left w:val="nil"/>
              <w:bottom w:val="single" w:sz="4" w:space="0" w:color="auto"/>
              <w:right w:val="single" w:sz="4" w:space="0" w:color="auto"/>
            </w:tcBorders>
            <w:shd w:val="clear" w:color="auto" w:fill="auto"/>
            <w:vAlign w:val="center"/>
            <w:hideMark/>
          </w:tcPr>
          <w:p w14:paraId="43671592" w14:textId="5639A2C1" w:rsidR="00232BE3" w:rsidRPr="00851497" w:rsidRDefault="00232BE3" w:rsidP="00851497">
            <w:pPr>
              <w:spacing w:line="240" w:lineRule="auto"/>
              <w:rPr>
                <w:sz w:val="20"/>
                <w:szCs w:val="20"/>
              </w:rPr>
            </w:pPr>
            <w:r w:rsidRPr="00851497">
              <w:rPr>
                <w:sz w:val="20"/>
                <w:szCs w:val="20"/>
              </w:rPr>
              <w:t>Investigates the effect of specialised ESG rating upgrades and downgrades on stock returns.</w:t>
            </w:r>
          </w:p>
        </w:tc>
        <w:tc>
          <w:tcPr>
            <w:tcW w:w="3969" w:type="dxa"/>
            <w:tcBorders>
              <w:top w:val="nil"/>
              <w:left w:val="nil"/>
              <w:bottom w:val="single" w:sz="4" w:space="0" w:color="auto"/>
              <w:right w:val="single" w:sz="4" w:space="0" w:color="auto"/>
            </w:tcBorders>
            <w:shd w:val="clear" w:color="auto" w:fill="auto"/>
            <w:vAlign w:val="center"/>
            <w:hideMark/>
          </w:tcPr>
          <w:p w14:paraId="64B35894" w14:textId="66550DE0" w:rsidR="00232BE3" w:rsidRPr="00851497" w:rsidRDefault="00206126" w:rsidP="00851497">
            <w:pPr>
              <w:spacing w:line="240" w:lineRule="auto"/>
              <w:rPr>
                <w:sz w:val="20"/>
                <w:szCs w:val="20"/>
              </w:rPr>
            </w:pPr>
            <w:r w:rsidRPr="00206126">
              <w:rPr>
                <w:sz w:val="20"/>
                <w:szCs w:val="20"/>
              </w:rPr>
              <w:t>Records the significance of modifications in ESG ratings, as opposed to ESG rating levels, on stock performance</w:t>
            </w:r>
          </w:p>
        </w:tc>
      </w:tr>
      <w:tr w:rsidR="00A75C34" w:rsidRPr="00851497" w14:paraId="1C51CA6D" w14:textId="77777777" w:rsidTr="009B7ACF">
        <w:trPr>
          <w:trHeight w:val="136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F419A58" w14:textId="29C5BB69" w:rsidR="00A75C34" w:rsidRPr="00851497" w:rsidRDefault="00A75C34" w:rsidP="00851497">
            <w:pPr>
              <w:spacing w:line="240" w:lineRule="auto"/>
              <w:jc w:val="center"/>
              <w:rPr>
                <w:b/>
                <w:bCs/>
                <w:sz w:val="20"/>
                <w:szCs w:val="20"/>
                <w:lang w:val="tr-TR"/>
              </w:rPr>
            </w:pPr>
            <w:r w:rsidRPr="00851497">
              <w:rPr>
                <w:b/>
                <w:bCs/>
                <w:sz w:val="20"/>
                <w:szCs w:val="20"/>
                <w:lang w:val="tr-TR"/>
              </w:rPr>
              <w:t>[15]</w:t>
            </w:r>
          </w:p>
        </w:tc>
        <w:tc>
          <w:tcPr>
            <w:tcW w:w="1487" w:type="dxa"/>
            <w:tcBorders>
              <w:top w:val="nil"/>
              <w:left w:val="nil"/>
              <w:bottom w:val="single" w:sz="4" w:space="0" w:color="auto"/>
              <w:right w:val="single" w:sz="4" w:space="0" w:color="auto"/>
            </w:tcBorders>
            <w:shd w:val="clear" w:color="auto" w:fill="auto"/>
            <w:hideMark/>
          </w:tcPr>
          <w:p w14:paraId="22CB0613" w14:textId="50C2583B" w:rsidR="00A75C34" w:rsidRPr="00851497" w:rsidRDefault="00A75C34" w:rsidP="00851497">
            <w:pPr>
              <w:spacing w:line="240" w:lineRule="auto"/>
              <w:rPr>
                <w:sz w:val="20"/>
                <w:szCs w:val="20"/>
              </w:rPr>
            </w:pPr>
            <w:r w:rsidRPr="00851497">
              <w:rPr>
                <w:sz w:val="20"/>
                <w:szCs w:val="20"/>
              </w:rPr>
              <w:t>Time-lagged panel regression model</w:t>
            </w:r>
          </w:p>
        </w:tc>
        <w:tc>
          <w:tcPr>
            <w:tcW w:w="3020" w:type="dxa"/>
            <w:tcBorders>
              <w:top w:val="nil"/>
              <w:left w:val="nil"/>
              <w:bottom w:val="single" w:sz="4" w:space="0" w:color="auto"/>
              <w:right w:val="single" w:sz="4" w:space="0" w:color="auto"/>
            </w:tcBorders>
            <w:shd w:val="clear" w:color="auto" w:fill="auto"/>
            <w:hideMark/>
          </w:tcPr>
          <w:p w14:paraId="61B4D427" w14:textId="377CE0B4" w:rsidR="00A75C34" w:rsidRPr="00851497" w:rsidRDefault="00A75C34" w:rsidP="00851497">
            <w:pPr>
              <w:spacing w:line="240" w:lineRule="auto"/>
              <w:rPr>
                <w:sz w:val="20"/>
                <w:szCs w:val="20"/>
              </w:rPr>
            </w:pPr>
            <w:r w:rsidRPr="00851497">
              <w:rPr>
                <w:sz w:val="20"/>
                <w:szCs w:val="20"/>
              </w:rPr>
              <w:t>impact of Environmental, Social, and Governance (ESG) performance on financial performance</w:t>
            </w:r>
          </w:p>
        </w:tc>
        <w:tc>
          <w:tcPr>
            <w:tcW w:w="3969" w:type="dxa"/>
            <w:tcBorders>
              <w:top w:val="nil"/>
              <w:left w:val="nil"/>
              <w:bottom w:val="single" w:sz="4" w:space="0" w:color="auto"/>
              <w:right w:val="single" w:sz="4" w:space="0" w:color="auto"/>
            </w:tcBorders>
            <w:shd w:val="clear" w:color="auto" w:fill="auto"/>
            <w:hideMark/>
          </w:tcPr>
          <w:p w14:paraId="713BC06B" w14:textId="5DF9955D" w:rsidR="00A75C34" w:rsidRPr="00851497" w:rsidRDefault="00206126" w:rsidP="00851497">
            <w:pPr>
              <w:spacing w:line="240" w:lineRule="auto"/>
              <w:rPr>
                <w:sz w:val="20"/>
                <w:szCs w:val="20"/>
              </w:rPr>
            </w:pPr>
            <w:r w:rsidRPr="00206126">
              <w:rPr>
                <w:sz w:val="20"/>
                <w:szCs w:val="20"/>
              </w:rPr>
              <w:t>The non-linearity of the relationship between environmental, social, and governance (ESG) performance and financial performance.</w:t>
            </w:r>
          </w:p>
        </w:tc>
      </w:tr>
      <w:tr w:rsidR="00A75C34" w:rsidRPr="00851497" w14:paraId="40789B48" w14:textId="77777777" w:rsidTr="009B7ACF">
        <w:trPr>
          <w:trHeight w:val="10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8CF6D53" w14:textId="7B66D2BB" w:rsidR="00A75C34" w:rsidRPr="00851497" w:rsidRDefault="00A75C34" w:rsidP="00851497">
            <w:pPr>
              <w:spacing w:line="240" w:lineRule="auto"/>
              <w:jc w:val="center"/>
              <w:rPr>
                <w:b/>
                <w:bCs/>
                <w:sz w:val="20"/>
                <w:szCs w:val="20"/>
                <w:lang w:val="tr-TR"/>
              </w:rPr>
            </w:pPr>
            <w:r w:rsidRPr="00851497">
              <w:rPr>
                <w:b/>
                <w:bCs/>
                <w:sz w:val="20"/>
                <w:szCs w:val="20"/>
                <w:lang w:val="tr-TR"/>
              </w:rPr>
              <w:t>[16]</w:t>
            </w:r>
          </w:p>
        </w:tc>
        <w:tc>
          <w:tcPr>
            <w:tcW w:w="1487" w:type="dxa"/>
            <w:tcBorders>
              <w:top w:val="nil"/>
              <w:left w:val="nil"/>
              <w:bottom w:val="single" w:sz="4" w:space="0" w:color="auto"/>
              <w:right w:val="single" w:sz="4" w:space="0" w:color="auto"/>
            </w:tcBorders>
            <w:shd w:val="clear" w:color="auto" w:fill="auto"/>
            <w:hideMark/>
          </w:tcPr>
          <w:p w14:paraId="18A1C5B2" w14:textId="109A46C7" w:rsidR="00A75C34" w:rsidRPr="00851497" w:rsidRDefault="00A75C34" w:rsidP="00851497">
            <w:pPr>
              <w:spacing w:line="240" w:lineRule="auto"/>
              <w:rPr>
                <w:sz w:val="20"/>
                <w:szCs w:val="20"/>
              </w:rPr>
            </w:pPr>
            <w:r w:rsidRPr="00851497">
              <w:rPr>
                <w:sz w:val="20"/>
                <w:szCs w:val="20"/>
              </w:rPr>
              <w:t xml:space="preserve">Event Study </w:t>
            </w:r>
          </w:p>
        </w:tc>
        <w:tc>
          <w:tcPr>
            <w:tcW w:w="3020" w:type="dxa"/>
            <w:tcBorders>
              <w:top w:val="nil"/>
              <w:left w:val="nil"/>
              <w:bottom w:val="single" w:sz="4" w:space="0" w:color="auto"/>
              <w:right w:val="single" w:sz="4" w:space="0" w:color="auto"/>
            </w:tcBorders>
            <w:shd w:val="clear" w:color="auto" w:fill="auto"/>
            <w:hideMark/>
          </w:tcPr>
          <w:p w14:paraId="112A0E84" w14:textId="7515139D" w:rsidR="00A75C34" w:rsidRPr="00851497" w:rsidRDefault="00A75C34" w:rsidP="00851497">
            <w:pPr>
              <w:spacing w:line="240" w:lineRule="auto"/>
              <w:rPr>
                <w:sz w:val="20"/>
                <w:szCs w:val="20"/>
              </w:rPr>
            </w:pPr>
            <w:r w:rsidRPr="00851497">
              <w:rPr>
                <w:sz w:val="20"/>
                <w:szCs w:val="20"/>
              </w:rPr>
              <w:t xml:space="preserve">Examining ESG performance during market-wide financial crisis, triggered in response to the COVID-19 global pandemic. </w:t>
            </w:r>
          </w:p>
        </w:tc>
        <w:tc>
          <w:tcPr>
            <w:tcW w:w="3969" w:type="dxa"/>
            <w:tcBorders>
              <w:top w:val="nil"/>
              <w:left w:val="nil"/>
              <w:bottom w:val="single" w:sz="4" w:space="0" w:color="auto"/>
              <w:right w:val="single" w:sz="4" w:space="0" w:color="auto"/>
            </w:tcBorders>
            <w:shd w:val="clear" w:color="auto" w:fill="auto"/>
            <w:hideMark/>
          </w:tcPr>
          <w:p w14:paraId="157B910F" w14:textId="78427F98" w:rsidR="00A75C34" w:rsidRPr="00851497" w:rsidRDefault="00206126" w:rsidP="00851497">
            <w:pPr>
              <w:spacing w:line="240" w:lineRule="auto"/>
              <w:rPr>
                <w:sz w:val="20"/>
                <w:szCs w:val="20"/>
              </w:rPr>
            </w:pPr>
            <w:r w:rsidRPr="00206126">
              <w:rPr>
                <w:sz w:val="20"/>
                <w:szCs w:val="20"/>
              </w:rPr>
              <w:t>Demonstrates that portfolios with high ESG generally perform better than those with low ESG, and that ESG performance reduces financial risk during financial crisis.</w:t>
            </w:r>
          </w:p>
        </w:tc>
      </w:tr>
      <w:tr w:rsidR="00A75C34" w:rsidRPr="00851497" w14:paraId="68124541" w14:textId="77777777" w:rsidTr="009B7ACF">
        <w:trPr>
          <w:trHeight w:val="136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DE9E0C9" w14:textId="07972370" w:rsidR="00A75C34" w:rsidRPr="00851497" w:rsidRDefault="00A75C34" w:rsidP="00851497">
            <w:pPr>
              <w:spacing w:line="240" w:lineRule="auto"/>
              <w:jc w:val="center"/>
              <w:rPr>
                <w:b/>
                <w:bCs/>
                <w:sz w:val="20"/>
                <w:szCs w:val="20"/>
                <w:lang w:val="tr-TR"/>
              </w:rPr>
            </w:pPr>
            <w:r w:rsidRPr="00851497">
              <w:rPr>
                <w:b/>
                <w:bCs/>
                <w:sz w:val="20"/>
                <w:szCs w:val="20"/>
                <w:lang w:val="tr-TR"/>
              </w:rPr>
              <w:t>[17]</w:t>
            </w:r>
          </w:p>
        </w:tc>
        <w:tc>
          <w:tcPr>
            <w:tcW w:w="1487" w:type="dxa"/>
            <w:tcBorders>
              <w:top w:val="nil"/>
              <w:left w:val="nil"/>
              <w:bottom w:val="single" w:sz="4" w:space="0" w:color="auto"/>
              <w:right w:val="single" w:sz="4" w:space="0" w:color="auto"/>
            </w:tcBorders>
            <w:shd w:val="clear" w:color="auto" w:fill="auto"/>
            <w:hideMark/>
          </w:tcPr>
          <w:p w14:paraId="406171BC" w14:textId="7F8B8856" w:rsidR="00A75C34" w:rsidRPr="00851497" w:rsidRDefault="00A75C34" w:rsidP="00851497">
            <w:pPr>
              <w:spacing w:line="240" w:lineRule="auto"/>
              <w:rPr>
                <w:sz w:val="20"/>
                <w:szCs w:val="20"/>
              </w:rPr>
            </w:pPr>
            <w:r w:rsidRPr="00851497">
              <w:rPr>
                <w:sz w:val="20"/>
                <w:szCs w:val="20"/>
              </w:rPr>
              <w:t>Regression model</w:t>
            </w:r>
          </w:p>
        </w:tc>
        <w:tc>
          <w:tcPr>
            <w:tcW w:w="3020" w:type="dxa"/>
            <w:tcBorders>
              <w:top w:val="nil"/>
              <w:left w:val="nil"/>
              <w:bottom w:val="single" w:sz="4" w:space="0" w:color="auto"/>
              <w:right w:val="single" w:sz="4" w:space="0" w:color="auto"/>
            </w:tcBorders>
            <w:shd w:val="clear" w:color="auto" w:fill="auto"/>
            <w:hideMark/>
          </w:tcPr>
          <w:p w14:paraId="755516BB" w14:textId="6B1BE6EF" w:rsidR="00A75C34" w:rsidRPr="00851497" w:rsidRDefault="00A75C34" w:rsidP="00851497">
            <w:pPr>
              <w:spacing w:line="240" w:lineRule="auto"/>
              <w:rPr>
                <w:sz w:val="20"/>
                <w:szCs w:val="20"/>
              </w:rPr>
            </w:pPr>
            <w:r w:rsidRPr="00851497">
              <w:rPr>
                <w:sz w:val="20"/>
                <w:szCs w:val="20"/>
              </w:rPr>
              <w:t>Investigating the effect of ESG performance on stock price crash risk</w:t>
            </w:r>
          </w:p>
        </w:tc>
        <w:tc>
          <w:tcPr>
            <w:tcW w:w="3969" w:type="dxa"/>
            <w:tcBorders>
              <w:top w:val="nil"/>
              <w:left w:val="nil"/>
              <w:bottom w:val="single" w:sz="4" w:space="0" w:color="auto"/>
              <w:right w:val="single" w:sz="4" w:space="0" w:color="auto"/>
            </w:tcBorders>
            <w:shd w:val="clear" w:color="auto" w:fill="auto"/>
            <w:hideMark/>
          </w:tcPr>
          <w:p w14:paraId="5C55F12D" w14:textId="1B4B4453" w:rsidR="00A75C34" w:rsidRPr="00851497" w:rsidRDefault="00206126" w:rsidP="00851497">
            <w:pPr>
              <w:spacing w:line="240" w:lineRule="auto"/>
              <w:rPr>
                <w:sz w:val="20"/>
                <w:szCs w:val="20"/>
              </w:rPr>
            </w:pPr>
            <w:r w:rsidRPr="00206126">
              <w:rPr>
                <w:sz w:val="20"/>
                <w:szCs w:val="20"/>
              </w:rPr>
              <w:t>Presents recent findings from the Chinese capital market that indicate that ESG performance can decrease the risk of stock price crash.</w:t>
            </w:r>
          </w:p>
        </w:tc>
      </w:tr>
      <w:tr w:rsidR="00A75C34" w:rsidRPr="00851497" w14:paraId="0B0F7E7A" w14:textId="77777777" w:rsidTr="009B7ACF">
        <w:trPr>
          <w:trHeight w:val="10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FF7BCC3" w14:textId="7D453D55" w:rsidR="00A75C34" w:rsidRPr="00851497" w:rsidRDefault="00A75C34" w:rsidP="00851497">
            <w:pPr>
              <w:spacing w:line="240" w:lineRule="auto"/>
              <w:jc w:val="center"/>
              <w:rPr>
                <w:b/>
                <w:bCs/>
                <w:sz w:val="20"/>
                <w:szCs w:val="20"/>
                <w:lang w:val="tr-TR"/>
              </w:rPr>
            </w:pPr>
            <w:r w:rsidRPr="00851497">
              <w:rPr>
                <w:b/>
                <w:bCs/>
                <w:sz w:val="20"/>
                <w:szCs w:val="20"/>
                <w:lang w:val="tr-TR"/>
              </w:rPr>
              <w:lastRenderedPageBreak/>
              <w:t>[18]</w:t>
            </w:r>
          </w:p>
        </w:tc>
        <w:tc>
          <w:tcPr>
            <w:tcW w:w="1487" w:type="dxa"/>
            <w:tcBorders>
              <w:top w:val="nil"/>
              <w:left w:val="nil"/>
              <w:bottom w:val="single" w:sz="4" w:space="0" w:color="auto"/>
              <w:right w:val="single" w:sz="4" w:space="0" w:color="auto"/>
            </w:tcBorders>
            <w:shd w:val="clear" w:color="auto" w:fill="auto"/>
            <w:hideMark/>
          </w:tcPr>
          <w:p w14:paraId="7E1138C3" w14:textId="5032CB79" w:rsidR="00A75C34" w:rsidRPr="00851497" w:rsidRDefault="00A75C34" w:rsidP="00851497">
            <w:pPr>
              <w:spacing w:line="240" w:lineRule="auto"/>
              <w:rPr>
                <w:sz w:val="20"/>
                <w:szCs w:val="20"/>
              </w:rPr>
            </w:pPr>
            <w:r w:rsidRPr="00851497">
              <w:rPr>
                <w:sz w:val="20"/>
                <w:szCs w:val="20"/>
              </w:rPr>
              <w:t>Cross sectional regression</w:t>
            </w:r>
          </w:p>
        </w:tc>
        <w:tc>
          <w:tcPr>
            <w:tcW w:w="3020" w:type="dxa"/>
            <w:tcBorders>
              <w:top w:val="nil"/>
              <w:left w:val="nil"/>
              <w:bottom w:val="single" w:sz="4" w:space="0" w:color="auto"/>
              <w:right w:val="single" w:sz="4" w:space="0" w:color="auto"/>
            </w:tcBorders>
            <w:shd w:val="clear" w:color="auto" w:fill="auto"/>
            <w:hideMark/>
          </w:tcPr>
          <w:p w14:paraId="75BB8C52" w14:textId="7D773E5F" w:rsidR="00A75C34" w:rsidRPr="00851497" w:rsidRDefault="00A75C34" w:rsidP="00851497">
            <w:pPr>
              <w:spacing w:line="240" w:lineRule="auto"/>
              <w:rPr>
                <w:sz w:val="20"/>
                <w:szCs w:val="20"/>
              </w:rPr>
            </w:pPr>
            <w:r w:rsidRPr="00851497">
              <w:rPr>
                <w:sz w:val="20"/>
                <w:szCs w:val="20"/>
              </w:rPr>
              <w:t>Examining ESG performance during COVID-19 based stock market crash</w:t>
            </w:r>
          </w:p>
        </w:tc>
        <w:tc>
          <w:tcPr>
            <w:tcW w:w="3969" w:type="dxa"/>
            <w:tcBorders>
              <w:top w:val="nil"/>
              <w:left w:val="nil"/>
              <w:bottom w:val="single" w:sz="4" w:space="0" w:color="auto"/>
              <w:right w:val="single" w:sz="4" w:space="0" w:color="auto"/>
            </w:tcBorders>
            <w:shd w:val="clear" w:color="auto" w:fill="auto"/>
            <w:hideMark/>
          </w:tcPr>
          <w:p w14:paraId="37030CD1" w14:textId="348AC710" w:rsidR="00A75C34" w:rsidRPr="00851497" w:rsidRDefault="00AC0051" w:rsidP="00851497">
            <w:pPr>
              <w:spacing w:line="240" w:lineRule="auto"/>
              <w:rPr>
                <w:sz w:val="20"/>
                <w:szCs w:val="20"/>
              </w:rPr>
            </w:pPr>
            <w:r w:rsidRPr="00AC0051">
              <w:rPr>
                <w:sz w:val="20"/>
                <w:szCs w:val="20"/>
              </w:rPr>
              <w:t>Demonstrates that stocks with higher environmental and social (ES) ratings have notably higher returns, lower return volatility, and higher operating profit margins during Q1 2020.</w:t>
            </w:r>
          </w:p>
        </w:tc>
      </w:tr>
      <w:tr w:rsidR="00A75C34" w:rsidRPr="00851497" w14:paraId="6A6696F3" w14:textId="77777777" w:rsidTr="009B7ACF">
        <w:trPr>
          <w:trHeight w:val="136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C73CBE9" w14:textId="3F0C05C3" w:rsidR="00A75C34" w:rsidRPr="00851497" w:rsidRDefault="00A75C34" w:rsidP="00851497">
            <w:pPr>
              <w:spacing w:line="240" w:lineRule="auto"/>
              <w:jc w:val="center"/>
              <w:rPr>
                <w:b/>
                <w:bCs/>
                <w:sz w:val="20"/>
                <w:szCs w:val="20"/>
                <w:lang w:val="tr-TR"/>
              </w:rPr>
            </w:pPr>
            <w:r w:rsidRPr="00851497">
              <w:rPr>
                <w:b/>
                <w:bCs/>
                <w:sz w:val="20"/>
                <w:szCs w:val="20"/>
                <w:lang w:val="tr-TR"/>
              </w:rPr>
              <w:t>[19]</w:t>
            </w:r>
          </w:p>
        </w:tc>
        <w:tc>
          <w:tcPr>
            <w:tcW w:w="1487" w:type="dxa"/>
            <w:tcBorders>
              <w:top w:val="nil"/>
              <w:left w:val="nil"/>
              <w:bottom w:val="single" w:sz="4" w:space="0" w:color="auto"/>
              <w:right w:val="single" w:sz="4" w:space="0" w:color="auto"/>
            </w:tcBorders>
            <w:shd w:val="clear" w:color="auto" w:fill="auto"/>
            <w:hideMark/>
          </w:tcPr>
          <w:p w14:paraId="31628F53" w14:textId="2DB1CFFB" w:rsidR="00A75C34" w:rsidRPr="00851497" w:rsidRDefault="00A75C34" w:rsidP="00851497">
            <w:pPr>
              <w:spacing w:line="240" w:lineRule="auto"/>
              <w:rPr>
                <w:sz w:val="20"/>
                <w:szCs w:val="20"/>
              </w:rPr>
            </w:pPr>
            <w:r w:rsidRPr="00851497">
              <w:rPr>
                <w:sz w:val="20"/>
                <w:szCs w:val="20"/>
              </w:rPr>
              <w:t>Panel Data Regression</w:t>
            </w:r>
          </w:p>
        </w:tc>
        <w:tc>
          <w:tcPr>
            <w:tcW w:w="3020" w:type="dxa"/>
            <w:tcBorders>
              <w:top w:val="nil"/>
              <w:left w:val="nil"/>
              <w:bottom w:val="single" w:sz="4" w:space="0" w:color="auto"/>
              <w:right w:val="single" w:sz="4" w:space="0" w:color="auto"/>
            </w:tcBorders>
            <w:shd w:val="clear" w:color="auto" w:fill="auto"/>
            <w:hideMark/>
          </w:tcPr>
          <w:p w14:paraId="2D21295D" w14:textId="0DD543E3" w:rsidR="00A75C34" w:rsidRPr="00851497" w:rsidRDefault="00A75C34" w:rsidP="00851497">
            <w:pPr>
              <w:spacing w:line="240" w:lineRule="auto"/>
              <w:rPr>
                <w:sz w:val="20"/>
                <w:szCs w:val="20"/>
              </w:rPr>
            </w:pPr>
            <w:r w:rsidRPr="00851497">
              <w:rPr>
                <w:sz w:val="20"/>
                <w:szCs w:val="20"/>
              </w:rPr>
              <w:t>examining the effect of ESG performance on stock returns and volatility during the financial crisis resulting from the coronavirus (COVID-19)</w:t>
            </w:r>
          </w:p>
        </w:tc>
        <w:tc>
          <w:tcPr>
            <w:tcW w:w="3969" w:type="dxa"/>
            <w:tcBorders>
              <w:top w:val="nil"/>
              <w:left w:val="nil"/>
              <w:bottom w:val="single" w:sz="4" w:space="0" w:color="auto"/>
              <w:right w:val="single" w:sz="4" w:space="0" w:color="auto"/>
            </w:tcBorders>
            <w:shd w:val="clear" w:color="auto" w:fill="auto"/>
            <w:hideMark/>
          </w:tcPr>
          <w:p w14:paraId="6C3C8FD4" w14:textId="360EC043" w:rsidR="00A75C34" w:rsidRPr="00851497" w:rsidRDefault="00AC0051" w:rsidP="00851497">
            <w:pPr>
              <w:spacing w:line="240" w:lineRule="auto"/>
              <w:rPr>
                <w:sz w:val="20"/>
                <w:szCs w:val="20"/>
              </w:rPr>
            </w:pPr>
            <w:r w:rsidRPr="00AC0051">
              <w:rPr>
                <w:sz w:val="20"/>
                <w:szCs w:val="20"/>
              </w:rPr>
              <w:t>Offers empirical data that demonstrates that better environmental, social, and governance (ESG) performance reduces financial risk during financial crises.</w:t>
            </w:r>
          </w:p>
        </w:tc>
      </w:tr>
      <w:tr w:rsidR="00A75C34" w:rsidRPr="00851497" w14:paraId="0DA2216A" w14:textId="77777777" w:rsidTr="009B7ACF">
        <w:trPr>
          <w:trHeight w:val="136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CB9C782" w14:textId="52F47F1D" w:rsidR="00A75C34" w:rsidRPr="00851497" w:rsidRDefault="00A75C34" w:rsidP="00851497">
            <w:pPr>
              <w:spacing w:line="240" w:lineRule="auto"/>
              <w:jc w:val="center"/>
              <w:rPr>
                <w:b/>
                <w:bCs/>
                <w:sz w:val="20"/>
                <w:szCs w:val="20"/>
                <w:lang w:val="tr-TR"/>
              </w:rPr>
            </w:pPr>
            <w:r w:rsidRPr="00851497">
              <w:rPr>
                <w:b/>
                <w:bCs/>
                <w:sz w:val="20"/>
                <w:szCs w:val="20"/>
                <w:lang w:val="tr-TR"/>
              </w:rPr>
              <w:t>[20]</w:t>
            </w:r>
          </w:p>
        </w:tc>
        <w:tc>
          <w:tcPr>
            <w:tcW w:w="1487" w:type="dxa"/>
            <w:tcBorders>
              <w:top w:val="nil"/>
              <w:left w:val="nil"/>
              <w:bottom w:val="single" w:sz="4" w:space="0" w:color="auto"/>
              <w:right w:val="single" w:sz="4" w:space="0" w:color="auto"/>
            </w:tcBorders>
            <w:shd w:val="clear" w:color="auto" w:fill="auto"/>
            <w:hideMark/>
          </w:tcPr>
          <w:p w14:paraId="7E27C141" w14:textId="164AD3F8" w:rsidR="00A75C34" w:rsidRPr="00851497" w:rsidRDefault="00A75C34" w:rsidP="00851497">
            <w:pPr>
              <w:spacing w:line="240" w:lineRule="auto"/>
              <w:rPr>
                <w:sz w:val="20"/>
                <w:szCs w:val="20"/>
              </w:rPr>
            </w:pPr>
            <w:r w:rsidRPr="00851497">
              <w:rPr>
                <w:sz w:val="20"/>
                <w:szCs w:val="20"/>
              </w:rPr>
              <w:t>Panel Data Regression</w:t>
            </w:r>
          </w:p>
        </w:tc>
        <w:tc>
          <w:tcPr>
            <w:tcW w:w="3020" w:type="dxa"/>
            <w:tcBorders>
              <w:top w:val="nil"/>
              <w:left w:val="nil"/>
              <w:bottom w:val="single" w:sz="4" w:space="0" w:color="auto"/>
              <w:right w:val="single" w:sz="4" w:space="0" w:color="auto"/>
            </w:tcBorders>
            <w:shd w:val="clear" w:color="auto" w:fill="auto"/>
            <w:hideMark/>
          </w:tcPr>
          <w:p w14:paraId="562DE4B5" w14:textId="106371E5" w:rsidR="00A75C34" w:rsidRPr="00851497" w:rsidRDefault="00A75C34" w:rsidP="00851497">
            <w:pPr>
              <w:spacing w:line="240" w:lineRule="auto"/>
              <w:rPr>
                <w:sz w:val="20"/>
                <w:szCs w:val="20"/>
              </w:rPr>
            </w:pPr>
            <w:r w:rsidRPr="00851497">
              <w:rPr>
                <w:sz w:val="20"/>
                <w:szCs w:val="20"/>
              </w:rPr>
              <w:t>ESG scores' effects on financial performance during COVID-19 crisis</w:t>
            </w:r>
          </w:p>
        </w:tc>
        <w:tc>
          <w:tcPr>
            <w:tcW w:w="3969" w:type="dxa"/>
            <w:tcBorders>
              <w:top w:val="nil"/>
              <w:left w:val="nil"/>
              <w:bottom w:val="single" w:sz="4" w:space="0" w:color="auto"/>
              <w:right w:val="single" w:sz="4" w:space="0" w:color="auto"/>
            </w:tcBorders>
            <w:shd w:val="clear" w:color="auto" w:fill="auto"/>
            <w:hideMark/>
          </w:tcPr>
          <w:p w14:paraId="39ABC49A" w14:textId="600FB233" w:rsidR="00A75C34" w:rsidRPr="00851497" w:rsidRDefault="00AC0051" w:rsidP="00851497">
            <w:pPr>
              <w:spacing w:line="240" w:lineRule="auto"/>
              <w:rPr>
                <w:sz w:val="20"/>
                <w:szCs w:val="20"/>
              </w:rPr>
            </w:pPr>
            <w:r w:rsidRPr="00AC0051">
              <w:rPr>
                <w:sz w:val="20"/>
                <w:szCs w:val="20"/>
              </w:rPr>
              <w:t>Indicates that ESG did not protect stocks during the COVID-19 crisis</w:t>
            </w:r>
          </w:p>
        </w:tc>
      </w:tr>
    </w:tbl>
    <w:p w14:paraId="514E0015" w14:textId="77777777" w:rsidR="001B7459" w:rsidRDefault="001B7459" w:rsidP="005B3402">
      <w:pPr>
        <w:rPr>
          <w:highlight w:val="yellow"/>
          <w:shd w:val="clear" w:color="auto" w:fill="FFFFFF"/>
        </w:rPr>
      </w:pPr>
    </w:p>
    <w:p w14:paraId="4F8716C0" w14:textId="7B47A2D1" w:rsidR="001B47BF" w:rsidRPr="00E761C5" w:rsidRDefault="00974DE2" w:rsidP="00E761C5">
      <w:pPr>
        <w:pStyle w:val="Heading1"/>
        <w:spacing w:afterAutospacing="0"/>
      </w:pPr>
      <w:r w:rsidRPr="001B47BF">
        <w:t>Methodology</w:t>
      </w:r>
      <w:r w:rsidR="00494733" w:rsidRPr="001B47BF">
        <w:t xml:space="preserve"> </w:t>
      </w:r>
    </w:p>
    <w:p w14:paraId="1D2759D7" w14:textId="4607C497" w:rsidR="001B47BF" w:rsidRDefault="007F3063" w:rsidP="005B3402">
      <w:pPr>
        <w:pStyle w:val="Heading2"/>
      </w:pPr>
      <w:r w:rsidRPr="001B47BF">
        <w:t>D</w:t>
      </w:r>
      <w:r w:rsidR="00AA42F2" w:rsidRPr="001B47BF">
        <w:t>ata</w:t>
      </w:r>
    </w:p>
    <w:p w14:paraId="7AAE71A4" w14:textId="7AF4E602" w:rsidR="00A140F7" w:rsidRDefault="00A140F7" w:rsidP="006C308D">
      <w:r w:rsidRPr="00A140F7">
        <w:t xml:space="preserve">In the scope of the study, the financial and sustainability performance of 22 companies (AKENR.E, AKSEN.E, AKSUE.E, ALFAS.E, ARASE.E, AYDEM.E, AYEN.E, BIOEN.E, CANTE.E, CONSE.E, ENJSA.E, ESEN.E, GWIND.E, HUNER.E, KARYE.E, MAGEN.E, NATEN.E, NTGAZ.E, ODAS.E, PAMEL.E, SMRTG.E, ZOREN.E) listed in the BIST XELKT index were examined for the period between 2019 and 2022. The financial performance of the companies was </w:t>
      </w:r>
      <w:r>
        <w:t>gathered</w:t>
      </w:r>
      <w:r w:rsidRPr="00A140F7">
        <w:t xml:space="preserve"> by reviewing their publicly available quarterly</w:t>
      </w:r>
      <w:r>
        <w:t>/yearly</w:t>
      </w:r>
      <w:r w:rsidRPr="00A140F7">
        <w:t xml:space="preserve"> financial statements through Yahoo Finance.</w:t>
      </w:r>
      <w:r>
        <w:t xml:space="preserve"> </w:t>
      </w:r>
      <w:r w:rsidRPr="00A140F7">
        <w:t>"CONSE.E" and "ALFAS.E" had their initial public offerings in 2022, so 20 companies other than these two were included in the analysis.</w:t>
      </w:r>
      <w:r>
        <w:t xml:space="preserve"> </w:t>
      </w:r>
      <w:r w:rsidRPr="00A140F7">
        <w:t>The companies' sub</w:t>
      </w:r>
      <w:r>
        <w:t>-</w:t>
      </w:r>
      <w:r w:rsidRPr="00A140F7">
        <w:t>sectors were obtained from Yahoo Finance</w:t>
      </w:r>
      <w:r>
        <w:t xml:space="preserve"> as well</w:t>
      </w:r>
      <w:r w:rsidRPr="00A140F7">
        <w:t>.</w:t>
      </w:r>
      <w:r>
        <w:t xml:space="preserve"> </w:t>
      </w:r>
      <w:r w:rsidRPr="00A140F7">
        <w:t>As previously mentioned, the sustainability performance obtained depends on the rating method used. As a measure of sustainability performance, Refinitiv's ESG, E, S, and G scores were used, as used in [18] and [20].</w:t>
      </w:r>
    </w:p>
    <w:p w14:paraId="1BB92DC6" w14:textId="1495E5BB" w:rsidR="00AA42F2" w:rsidRDefault="000F25B0" w:rsidP="007F1E7B">
      <w:pPr>
        <w:pStyle w:val="Heading2"/>
      </w:pPr>
      <w:r>
        <w:t>Proposed Model</w:t>
      </w:r>
    </w:p>
    <w:p w14:paraId="4EE77F2A" w14:textId="697AE2E2" w:rsidR="001B47BF" w:rsidRPr="0030451E" w:rsidRDefault="0076033C" w:rsidP="0030451E">
      <w:pPr>
        <w:pStyle w:val="Heading3"/>
      </w:pPr>
      <w:r>
        <w:lastRenderedPageBreak/>
        <w:t>Variables</w:t>
      </w:r>
    </w:p>
    <w:p w14:paraId="3134F176" w14:textId="2965B5E1" w:rsidR="0009097F" w:rsidRPr="002D0AD1" w:rsidRDefault="0009097F" w:rsidP="005B3402">
      <w:pPr>
        <w:rPr>
          <w:highlight w:val="yellow"/>
        </w:rPr>
      </w:pPr>
      <w:r w:rsidRPr="0009097F">
        <w:t xml:space="preserve">When reviewing the literature focused on the effect of sustainability performance on financial performance, it is seen that there are multiple methods for </w:t>
      </w:r>
      <w:r>
        <w:t>indicating</w:t>
      </w:r>
      <w:r w:rsidRPr="0009097F">
        <w:t xml:space="preserve"> financial performance, such as Return on Assets (ROA), short- or long-run stock returns, and Tobin's Q [21]. [15] has created a synthetic index instead of using a single financial performance indicator. In this study, ROA will be used as the financial performance indicator, as used in [22], [23], [24], and [25]</w:t>
      </w:r>
      <w:r>
        <w:t xml:space="preserve">. </w:t>
      </w:r>
      <w:r w:rsidRPr="0009097F">
        <w:t>ROA will be used as the dependent variable representing the profitability of the company</w:t>
      </w:r>
      <w:r>
        <w:t xml:space="preserve"> </w:t>
      </w:r>
      <w:proofErr w:type="spellStart"/>
      <w:r>
        <w:t>i</w:t>
      </w:r>
      <w:proofErr w:type="spellEnd"/>
      <w:r>
        <w:t xml:space="preserve"> </w:t>
      </w:r>
      <w:r w:rsidR="00FE2DFC">
        <w:t>at year</w:t>
      </w:r>
      <w:r>
        <w:t xml:space="preserve"> t</w:t>
      </w:r>
      <w:r w:rsidRPr="0009097F">
        <w:t>. The calculation method for ROA is given below:</w:t>
      </w:r>
    </w:p>
    <w:p w14:paraId="6AD64329" w14:textId="0499CC18" w:rsidR="00237D5A" w:rsidRPr="007F1E7B" w:rsidRDefault="00786B30" w:rsidP="005B3402">
      <w:pPr>
        <w:rPr>
          <w:bCs/>
        </w:rPr>
      </w:pPr>
      <m:oMathPara>
        <m:oMathParaPr>
          <m:jc m:val="left"/>
        </m:oMathParaPr>
        <m:oMath>
          <m:sSub>
            <m:sSubPr>
              <m:ctrlPr>
                <w:rPr>
                  <w:rFonts w:ascii="Cambria Math" w:hAnsi="Cambria Math"/>
                  <w:bCs/>
                </w:rPr>
              </m:ctrlPr>
            </m:sSubPr>
            <m:e>
              <m:r>
                <w:rPr>
                  <w:rFonts w:ascii="Cambria Math" w:hAnsi="Cambria Math"/>
                </w:rPr>
                <m:t>ROA</m:t>
              </m:r>
            </m:e>
            <m:sub>
              <m:r>
                <w:rPr>
                  <w:rFonts w:ascii="Cambria Math" w:hAnsi="Cambria Math"/>
                </w:rPr>
                <m:t>it</m:t>
              </m:r>
            </m:sub>
          </m:sSub>
          <m:r>
            <m:rPr>
              <m:sty m:val="p"/>
            </m:rPr>
            <w:rPr>
              <w:rFonts w:ascii="Cambria Math" w:hAnsi="Cambria Math"/>
            </w:rPr>
            <m:t xml:space="preserve"> = </m:t>
          </m:r>
          <m:sSub>
            <m:sSubPr>
              <m:ctrlPr>
                <w:rPr>
                  <w:rFonts w:ascii="Cambria Math" w:eastAsiaTheme="minorHAnsi" w:hAnsi="Cambria Math"/>
                  <w:bCs/>
                  <w:lang w:eastAsia="en-US"/>
                </w:rPr>
              </m:ctrlPr>
            </m:sSubPr>
            <m:e>
              <m:r>
                <w:rPr>
                  <w:rFonts w:ascii="Cambria Math" w:hAnsi="Cambria Math"/>
                </w:rPr>
                <m:t>Net</m:t>
              </m:r>
              <m:r>
                <m:rPr>
                  <m:sty m:val="p"/>
                </m:rPr>
                <w:rPr>
                  <w:rFonts w:ascii="Cambria Math" w:hAnsi="Cambria Math"/>
                </w:rPr>
                <m:t xml:space="preserve"> </m:t>
              </m:r>
              <m:r>
                <w:rPr>
                  <w:rFonts w:ascii="Cambria Math" w:hAnsi="Cambria Math"/>
                </w:rPr>
                <m:t>Income</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Total</m:t>
              </m:r>
              <m:r>
                <m:rPr>
                  <m:sty m:val="p"/>
                </m:rPr>
                <w:rPr>
                  <w:rFonts w:ascii="Cambria Math" w:hAnsi="Cambria Math"/>
                </w:rPr>
                <m:t xml:space="preserve"> </m:t>
              </m:r>
              <m:r>
                <w:rPr>
                  <w:rFonts w:ascii="Cambria Math" w:hAnsi="Cambria Math"/>
                </w:rPr>
                <m:t>Assets</m:t>
              </m:r>
            </m:e>
            <m:sub>
              <m:r>
                <w:rPr>
                  <w:rFonts w:ascii="Cambria Math" w:hAnsi="Cambria Math"/>
                </w:rPr>
                <m:t>it</m:t>
              </m:r>
            </m:sub>
          </m:sSub>
        </m:oMath>
      </m:oMathPara>
    </w:p>
    <w:p w14:paraId="49D468EB" w14:textId="28D630B7" w:rsidR="00056180" w:rsidRPr="002D0AD1" w:rsidRDefault="00786B30" w:rsidP="005B3402">
      <w:pPr>
        <w:rPr>
          <w:highlight w:val="yellow"/>
        </w:rPr>
      </w:pPr>
      <m:oMath>
        <m:sSub>
          <m:sSubPr>
            <m:ctrlPr>
              <w:rPr>
                <w:rFonts w:ascii="Cambria Math" w:hAnsi="Cambria Math"/>
                <w:i/>
              </w:rPr>
            </m:ctrlPr>
          </m:sSubPr>
          <m:e>
            <m:r>
              <w:rPr>
                <w:rFonts w:ascii="Cambria Math" w:hAnsi="Cambria Math"/>
              </w:rPr>
              <m:t>ESG</m:t>
            </m:r>
          </m:e>
          <m:sub>
            <m:r>
              <w:rPr>
                <w:rFonts w:ascii="Cambria Math" w:hAnsi="Cambria Math"/>
              </w:rPr>
              <m:t>it</m:t>
            </m:r>
          </m:sub>
        </m:sSub>
      </m:oMath>
      <w:r w:rsidR="00056180" w:rsidRPr="00056180">
        <w:t xml:space="preserve">  is added as independent variable</w:t>
      </w:r>
      <w:r w:rsidR="00056180">
        <w:t xml:space="preserve"> which </w:t>
      </w:r>
      <w:r w:rsidR="00056180" w:rsidRPr="00056180">
        <w:t xml:space="preserve">represents the ESG score of company </w:t>
      </w:r>
      <w:proofErr w:type="spellStart"/>
      <w:r w:rsidR="00056180" w:rsidRPr="00056180">
        <w:t>i</w:t>
      </w:r>
      <w:proofErr w:type="spellEnd"/>
      <w:r w:rsidR="00056180" w:rsidRPr="00056180">
        <w:t xml:space="preserve"> at time t. In addition to the </w:t>
      </w:r>
      <w:r w:rsidR="00056180">
        <w:t>overall</w:t>
      </w:r>
      <w:r w:rsidR="00056180" w:rsidRPr="00056180">
        <w:t xml:space="preserve"> ESG score, the E, S, and G pillars are also included as independent variables in the models, as in [13], [19], [23], and [24]. </w:t>
      </w:r>
    </w:p>
    <w:p w14:paraId="0C4A3DEF" w14:textId="0026C01F" w:rsidR="00056180" w:rsidRDefault="00056180" w:rsidP="005B3402">
      <w:pPr>
        <w:rPr>
          <w:highlight w:val="yellow"/>
        </w:rPr>
      </w:pPr>
      <w:r w:rsidRPr="00056180">
        <w:t>In the regression, dummy variables have been added to allow for the observation of the effects of subgroups, as in [19], [22]</w:t>
      </w:r>
      <w:r w:rsidR="00FE2DFC">
        <w:t xml:space="preserve"> and</w:t>
      </w:r>
      <w:r w:rsidRPr="00056180">
        <w:t xml:space="preserve"> [23]. </w:t>
      </w:r>
      <m:oMath>
        <m:sSub>
          <m:sSubPr>
            <m:ctrlPr>
              <w:rPr>
                <w:rFonts w:ascii="Cambria Math" w:hAnsi="Cambria Math"/>
                <w:i/>
              </w:rPr>
            </m:ctrlPr>
          </m:sSubPr>
          <m:e>
            <m:r>
              <w:rPr>
                <w:rFonts w:ascii="Cambria Math" w:hAnsi="Cambria Math"/>
              </w:rPr>
              <m:t>MRE</m:t>
            </m:r>
          </m:e>
          <m:sub>
            <m:r>
              <w:rPr>
                <w:rFonts w:ascii="Cambria Math" w:hAnsi="Cambria Math"/>
              </w:rPr>
              <m:t>it</m:t>
            </m:r>
          </m:sub>
        </m:sSub>
      </m:oMath>
      <w:r w:rsidRPr="00056180">
        <w:t xml:space="preserve"> for Market Risk Exposure, </w:t>
      </w:r>
      <m:oMath>
        <m:sSub>
          <m:sSubPr>
            <m:ctrlPr>
              <w:rPr>
                <w:rFonts w:ascii="Cambria Math" w:hAnsi="Cambria Math"/>
                <w:i/>
              </w:rPr>
            </m:ctrlPr>
          </m:sSubPr>
          <m:e>
            <m:r>
              <w:rPr>
                <w:rFonts w:ascii="Cambria Math" w:hAnsi="Cambria Math"/>
              </w:rPr>
              <m:t>XUSRD</m:t>
            </m:r>
          </m:e>
          <m:sub>
            <m:r>
              <w:rPr>
                <w:rFonts w:ascii="Cambria Math" w:hAnsi="Cambria Math"/>
              </w:rPr>
              <m:t>it</m:t>
            </m:r>
          </m:sub>
        </m:sSub>
      </m:oMath>
      <w:r w:rsidRPr="00056180">
        <w:t xml:space="preserve"> for BIST Sustainability Index inclusion, and </w:t>
      </w:r>
      <m:oMath>
        <m:sSub>
          <m:sSubPr>
            <m:ctrlPr>
              <w:rPr>
                <w:rFonts w:ascii="Cambria Math" w:hAnsi="Cambria Math"/>
                <w:i/>
              </w:rPr>
            </m:ctrlPr>
          </m:sSubPr>
          <m:e>
            <m:r>
              <w:rPr>
                <w:rFonts w:ascii="Cambria Math" w:hAnsi="Cambria Math"/>
              </w:rPr>
              <m:t>SUB</m:t>
            </m:r>
          </m:e>
          <m:sub>
            <m:r>
              <w:rPr>
                <w:rFonts w:ascii="Cambria Math" w:hAnsi="Cambria Math"/>
              </w:rPr>
              <m:t>it</m:t>
            </m:r>
          </m:sub>
        </m:sSub>
      </m:oMath>
      <w:r w:rsidRPr="00056180">
        <w:t xml:space="preserve"> for XELKT company sub</w:t>
      </w:r>
      <w:r w:rsidR="00FE2DFC">
        <w:t>-</w:t>
      </w:r>
      <w:r w:rsidRPr="00056180">
        <w:t xml:space="preserve">sectors are added as dummy variables. The start date of the Russia-Ukraine war is taken into account for </w:t>
      </w:r>
      <m:oMath>
        <m:sSub>
          <m:sSubPr>
            <m:ctrlPr>
              <w:rPr>
                <w:rFonts w:ascii="Cambria Math" w:hAnsi="Cambria Math"/>
                <w:i/>
              </w:rPr>
            </m:ctrlPr>
          </m:sSubPr>
          <m:e>
            <m:r>
              <w:rPr>
                <w:rFonts w:ascii="Cambria Math" w:hAnsi="Cambria Math"/>
              </w:rPr>
              <m:t>MRE</m:t>
            </m:r>
          </m:e>
          <m:sub>
            <m:r>
              <w:rPr>
                <w:rFonts w:ascii="Cambria Math" w:hAnsi="Cambria Math"/>
              </w:rPr>
              <m:t>it</m:t>
            </m:r>
          </m:sub>
        </m:sSub>
      </m:oMath>
      <w:r w:rsidRPr="00056180">
        <w:t>. The dummy variable tables are given below.</w:t>
      </w:r>
    </w:p>
    <w:p w14:paraId="1E5CB10C" w14:textId="1D57A090" w:rsidR="009F0EB2" w:rsidRPr="009F0EB2" w:rsidRDefault="009F0EB2" w:rsidP="009B7ACF">
      <w:pPr>
        <w:pStyle w:val="Caption"/>
        <w:keepNext/>
        <w:jc w:val="center"/>
        <w:rPr>
          <w:b/>
          <w:bCs/>
          <w:i w:val="0"/>
          <w:iCs w:val="0"/>
          <w:color w:val="000000" w:themeColor="text1"/>
          <w:sz w:val="24"/>
          <w:szCs w:val="24"/>
        </w:rPr>
      </w:pPr>
      <w:r w:rsidRPr="009F0EB2">
        <w:rPr>
          <w:b/>
          <w:bCs/>
          <w:i w:val="0"/>
          <w:iCs w:val="0"/>
          <w:color w:val="000000" w:themeColor="text1"/>
          <w:sz w:val="24"/>
          <w:szCs w:val="24"/>
        </w:rPr>
        <w:t xml:space="preserve">Table </w:t>
      </w:r>
      <w:r w:rsidRPr="009F0EB2">
        <w:rPr>
          <w:b/>
          <w:bCs/>
          <w:i w:val="0"/>
          <w:iCs w:val="0"/>
          <w:color w:val="000000" w:themeColor="text1"/>
          <w:sz w:val="24"/>
          <w:szCs w:val="24"/>
        </w:rPr>
        <w:fldChar w:fldCharType="begin"/>
      </w:r>
      <w:r w:rsidRPr="009F0EB2">
        <w:rPr>
          <w:b/>
          <w:bCs/>
          <w:i w:val="0"/>
          <w:iCs w:val="0"/>
          <w:color w:val="000000" w:themeColor="text1"/>
          <w:sz w:val="24"/>
          <w:szCs w:val="24"/>
        </w:rPr>
        <w:instrText xml:space="preserve"> SEQ Table \* ARABIC </w:instrText>
      </w:r>
      <w:r w:rsidRPr="009F0EB2">
        <w:rPr>
          <w:b/>
          <w:bCs/>
          <w:i w:val="0"/>
          <w:iCs w:val="0"/>
          <w:color w:val="000000" w:themeColor="text1"/>
          <w:sz w:val="24"/>
          <w:szCs w:val="24"/>
        </w:rPr>
        <w:fldChar w:fldCharType="separate"/>
      </w:r>
      <w:r w:rsidR="00AD3F3F">
        <w:rPr>
          <w:b/>
          <w:bCs/>
          <w:i w:val="0"/>
          <w:iCs w:val="0"/>
          <w:noProof/>
          <w:color w:val="000000" w:themeColor="text1"/>
          <w:sz w:val="24"/>
          <w:szCs w:val="24"/>
        </w:rPr>
        <w:t>3</w:t>
      </w:r>
      <w:r w:rsidRPr="009F0EB2">
        <w:rPr>
          <w:b/>
          <w:bCs/>
          <w:i w:val="0"/>
          <w:iCs w:val="0"/>
          <w:color w:val="000000" w:themeColor="text1"/>
          <w:sz w:val="24"/>
          <w:szCs w:val="24"/>
        </w:rPr>
        <w:fldChar w:fldCharType="end"/>
      </w:r>
      <w:r w:rsidRPr="009F0EB2">
        <w:rPr>
          <w:b/>
          <w:bCs/>
          <w:i w:val="0"/>
          <w:iCs w:val="0"/>
          <w:color w:val="000000" w:themeColor="text1"/>
          <w:sz w:val="24"/>
          <w:szCs w:val="24"/>
        </w:rPr>
        <w:t>. Market Risk Exposure Dummy</w:t>
      </w:r>
    </w:p>
    <w:tbl>
      <w:tblPr>
        <w:tblW w:w="4080" w:type="dxa"/>
        <w:jc w:val="center"/>
        <w:tblCellMar>
          <w:left w:w="70" w:type="dxa"/>
          <w:right w:w="70" w:type="dxa"/>
        </w:tblCellMar>
        <w:tblLook w:val="04A0" w:firstRow="1" w:lastRow="0" w:firstColumn="1" w:lastColumn="0" w:noHBand="0" w:noVBand="1"/>
      </w:tblPr>
      <w:tblGrid>
        <w:gridCol w:w="2780"/>
        <w:gridCol w:w="1300"/>
      </w:tblGrid>
      <w:tr w:rsidR="007F3063" w:rsidRPr="005D6057" w14:paraId="3C0380C2" w14:textId="77777777" w:rsidTr="009B7ACF">
        <w:trPr>
          <w:trHeight w:val="680"/>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0744F" w14:textId="48A8BC7D" w:rsidR="007F3063" w:rsidRPr="005D6057" w:rsidRDefault="007F3063" w:rsidP="006C3BCC">
            <w:pPr>
              <w:spacing w:before="0" w:beforeAutospacing="0" w:line="240" w:lineRule="auto"/>
              <w:rPr>
                <w:b/>
                <w:bCs/>
              </w:rPr>
            </w:pPr>
            <w:r w:rsidRPr="005D6057">
              <w:rPr>
                <w:b/>
                <w:bCs/>
              </w:rPr>
              <w:t>M</w:t>
            </w:r>
            <w:r w:rsidR="009F0EB2" w:rsidRPr="005D6057">
              <w:rPr>
                <w:b/>
                <w:bCs/>
              </w:rPr>
              <w:t xml:space="preserve">arket </w:t>
            </w:r>
            <w:r w:rsidRPr="005D6057">
              <w:rPr>
                <w:b/>
                <w:bCs/>
              </w:rPr>
              <w:t>R</w:t>
            </w:r>
            <w:r w:rsidR="009F0EB2" w:rsidRPr="005D6057">
              <w:rPr>
                <w:b/>
                <w:bCs/>
              </w:rPr>
              <w:t xml:space="preserve">isks </w:t>
            </w:r>
            <w:r w:rsidRPr="005D6057">
              <w:rPr>
                <w:b/>
                <w:bCs/>
              </w:rPr>
              <w:t>E</w:t>
            </w:r>
            <w:r w:rsidR="009F0EB2" w:rsidRPr="005D6057">
              <w:rPr>
                <w:b/>
                <w:bCs/>
              </w:rPr>
              <w:t>xposure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13AE8D8" w14:textId="2E1CF756" w:rsidR="007F3063" w:rsidRPr="005D6057" w:rsidRDefault="007F3063" w:rsidP="006C3BCC">
            <w:pPr>
              <w:spacing w:before="0" w:beforeAutospacing="0" w:line="240" w:lineRule="auto"/>
              <w:rPr>
                <w:b/>
                <w:bCs/>
              </w:rPr>
            </w:pPr>
            <w:r w:rsidRPr="005D6057">
              <w:rPr>
                <w:b/>
                <w:bCs/>
              </w:rPr>
              <w:t>Value</w:t>
            </w:r>
          </w:p>
        </w:tc>
      </w:tr>
      <w:tr w:rsidR="007F3063" w:rsidRPr="005D6057" w14:paraId="4763566F" w14:textId="77777777" w:rsidTr="009B7ACF">
        <w:trPr>
          <w:trHeight w:val="34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6D6F6798" w14:textId="77777777" w:rsidR="007F3063" w:rsidRPr="005D6057" w:rsidRDefault="007F3063" w:rsidP="006C3BCC">
            <w:pPr>
              <w:spacing w:before="0" w:beforeAutospacing="0" w:line="240" w:lineRule="auto"/>
            </w:pPr>
            <w:r w:rsidRPr="005D6057">
              <w:t>Before War</w:t>
            </w:r>
          </w:p>
        </w:tc>
        <w:tc>
          <w:tcPr>
            <w:tcW w:w="1300" w:type="dxa"/>
            <w:tcBorders>
              <w:top w:val="nil"/>
              <w:left w:val="nil"/>
              <w:bottom w:val="single" w:sz="4" w:space="0" w:color="auto"/>
              <w:right w:val="single" w:sz="4" w:space="0" w:color="auto"/>
            </w:tcBorders>
            <w:shd w:val="clear" w:color="auto" w:fill="auto"/>
            <w:noWrap/>
            <w:vAlign w:val="center"/>
            <w:hideMark/>
          </w:tcPr>
          <w:p w14:paraId="65E6193E" w14:textId="77777777" w:rsidR="007F3063" w:rsidRPr="005D6057" w:rsidRDefault="007F3063" w:rsidP="006C3BCC">
            <w:pPr>
              <w:spacing w:before="0" w:beforeAutospacing="0" w:line="240" w:lineRule="auto"/>
            </w:pPr>
            <w:r w:rsidRPr="005D6057">
              <w:t>0</w:t>
            </w:r>
          </w:p>
        </w:tc>
      </w:tr>
      <w:tr w:rsidR="007F3063" w:rsidRPr="005D6057" w14:paraId="633E9117" w14:textId="77777777" w:rsidTr="009B7ACF">
        <w:trPr>
          <w:trHeight w:val="34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8F7C447" w14:textId="4E571674" w:rsidR="007F3063" w:rsidRPr="005D6057" w:rsidRDefault="007F3063" w:rsidP="006C3BCC">
            <w:pPr>
              <w:spacing w:before="0" w:beforeAutospacing="0" w:line="240" w:lineRule="auto"/>
            </w:pPr>
            <w:r w:rsidRPr="005D6057">
              <w:t>Russia-</w:t>
            </w:r>
            <w:r w:rsidR="0032336D" w:rsidRPr="005D6057">
              <w:t>Ukrain</w:t>
            </w:r>
            <w:r w:rsidR="00DC3CE4">
              <w:t>e</w:t>
            </w:r>
            <w:r w:rsidRPr="005D6057">
              <w:t xml:space="preserve"> War</w:t>
            </w:r>
          </w:p>
        </w:tc>
        <w:tc>
          <w:tcPr>
            <w:tcW w:w="1300" w:type="dxa"/>
            <w:tcBorders>
              <w:top w:val="nil"/>
              <w:left w:val="nil"/>
              <w:bottom w:val="single" w:sz="4" w:space="0" w:color="auto"/>
              <w:right w:val="single" w:sz="4" w:space="0" w:color="auto"/>
            </w:tcBorders>
            <w:shd w:val="clear" w:color="auto" w:fill="auto"/>
            <w:noWrap/>
            <w:vAlign w:val="center"/>
            <w:hideMark/>
          </w:tcPr>
          <w:p w14:paraId="6431BD78" w14:textId="77777777" w:rsidR="007F3063" w:rsidRPr="005D6057" w:rsidRDefault="007F3063" w:rsidP="006C3BCC">
            <w:pPr>
              <w:spacing w:before="0" w:beforeAutospacing="0" w:line="240" w:lineRule="auto"/>
            </w:pPr>
            <w:r w:rsidRPr="005D6057">
              <w:t>1</w:t>
            </w:r>
          </w:p>
        </w:tc>
      </w:tr>
    </w:tbl>
    <w:p w14:paraId="7131D6FB" w14:textId="1CAE730C" w:rsidR="009F0EB2" w:rsidRPr="009F0EB2" w:rsidRDefault="009F0EB2" w:rsidP="009B7ACF">
      <w:pPr>
        <w:pStyle w:val="Caption"/>
        <w:keepNext/>
        <w:jc w:val="center"/>
        <w:rPr>
          <w:b/>
          <w:bCs/>
          <w:i w:val="0"/>
          <w:iCs w:val="0"/>
          <w:color w:val="000000" w:themeColor="text1"/>
          <w:sz w:val="24"/>
          <w:szCs w:val="24"/>
        </w:rPr>
      </w:pPr>
      <w:r w:rsidRPr="009F0EB2">
        <w:rPr>
          <w:b/>
          <w:bCs/>
          <w:i w:val="0"/>
          <w:iCs w:val="0"/>
          <w:color w:val="000000" w:themeColor="text1"/>
          <w:sz w:val="24"/>
          <w:szCs w:val="24"/>
        </w:rPr>
        <w:lastRenderedPageBreak/>
        <w:t xml:space="preserve">Table </w:t>
      </w:r>
      <w:r w:rsidRPr="009F0EB2">
        <w:rPr>
          <w:b/>
          <w:bCs/>
          <w:i w:val="0"/>
          <w:iCs w:val="0"/>
          <w:color w:val="000000" w:themeColor="text1"/>
          <w:sz w:val="24"/>
          <w:szCs w:val="24"/>
        </w:rPr>
        <w:fldChar w:fldCharType="begin"/>
      </w:r>
      <w:r w:rsidRPr="009F0EB2">
        <w:rPr>
          <w:b/>
          <w:bCs/>
          <w:i w:val="0"/>
          <w:iCs w:val="0"/>
          <w:color w:val="000000" w:themeColor="text1"/>
          <w:sz w:val="24"/>
          <w:szCs w:val="24"/>
        </w:rPr>
        <w:instrText xml:space="preserve"> SEQ Table \* ARABIC </w:instrText>
      </w:r>
      <w:r w:rsidRPr="009F0EB2">
        <w:rPr>
          <w:b/>
          <w:bCs/>
          <w:i w:val="0"/>
          <w:iCs w:val="0"/>
          <w:color w:val="000000" w:themeColor="text1"/>
          <w:sz w:val="24"/>
          <w:szCs w:val="24"/>
        </w:rPr>
        <w:fldChar w:fldCharType="separate"/>
      </w:r>
      <w:r w:rsidR="00AD3F3F">
        <w:rPr>
          <w:b/>
          <w:bCs/>
          <w:i w:val="0"/>
          <w:iCs w:val="0"/>
          <w:noProof/>
          <w:color w:val="000000" w:themeColor="text1"/>
          <w:sz w:val="24"/>
          <w:szCs w:val="24"/>
        </w:rPr>
        <w:t>4</w:t>
      </w:r>
      <w:r w:rsidRPr="009F0EB2">
        <w:rPr>
          <w:b/>
          <w:bCs/>
          <w:i w:val="0"/>
          <w:iCs w:val="0"/>
          <w:color w:val="000000" w:themeColor="text1"/>
          <w:sz w:val="24"/>
          <w:szCs w:val="24"/>
        </w:rPr>
        <w:fldChar w:fldCharType="end"/>
      </w:r>
      <w:r w:rsidRPr="009F0EB2">
        <w:rPr>
          <w:b/>
          <w:bCs/>
          <w:i w:val="0"/>
          <w:iCs w:val="0"/>
          <w:color w:val="000000" w:themeColor="text1"/>
          <w:sz w:val="24"/>
          <w:szCs w:val="24"/>
        </w:rPr>
        <w:t>. Sub-Sector Dummy</w:t>
      </w:r>
    </w:p>
    <w:tbl>
      <w:tblPr>
        <w:tblW w:w="4080" w:type="dxa"/>
        <w:jc w:val="center"/>
        <w:tblCellMar>
          <w:left w:w="70" w:type="dxa"/>
          <w:right w:w="70" w:type="dxa"/>
        </w:tblCellMar>
        <w:tblLook w:val="04A0" w:firstRow="1" w:lastRow="0" w:firstColumn="1" w:lastColumn="0" w:noHBand="0" w:noVBand="1"/>
      </w:tblPr>
      <w:tblGrid>
        <w:gridCol w:w="2780"/>
        <w:gridCol w:w="1300"/>
      </w:tblGrid>
      <w:tr w:rsidR="007F3063" w14:paraId="002898F9" w14:textId="77777777" w:rsidTr="009B7ACF">
        <w:trPr>
          <w:trHeight w:val="32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8706" w14:textId="0E45276D" w:rsidR="007F3063" w:rsidRPr="009F0EB2" w:rsidRDefault="007F3063" w:rsidP="005D6057">
            <w:pPr>
              <w:spacing w:line="240" w:lineRule="auto"/>
              <w:rPr>
                <w:b/>
                <w:bCs/>
              </w:rPr>
            </w:pPr>
            <w:r w:rsidRPr="009F0EB2">
              <w:rPr>
                <w:b/>
                <w:bCs/>
              </w:rPr>
              <w:t>S</w:t>
            </w:r>
            <w:r w:rsidR="009F0EB2" w:rsidRPr="009F0EB2">
              <w:rPr>
                <w:b/>
                <w:bCs/>
              </w:rPr>
              <w:t>ub-Sector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9CFB392" w14:textId="4F05F20F" w:rsidR="007F3063" w:rsidRPr="009F0EB2" w:rsidRDefault="007F3063" w:rsidP="005D6057">
            <w:pPr>
              <w:spacing w:line="240" w:lineRule="auto"/>
              <w:rPr>
                <w:b/>
                <w:bCs/>
              </w:rPr>
            </w:pPr>
            <w:r w:rsidRPr="009F0EB2">
              <w:rPr>
                <w:b/>
                <w:bCs/>
              </w:rPr>
              <w:t>Value</w:t>
            </w:r>
          </w:p>
        </w:tc>
      </w:tr>
      <w:tr w:rsidR="007F3063" w14:paraId="7E20CCAB" w14:textId="77777777" w:rsidTr="009B7ACF">
        <w:trPr>
          <w:trHeight w:val="68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0812D06" w14:textId="77777777" w:rsidR="007F3063" w:rsidRPr="007F3063" w:rsidRDefault="007F3063" w:rsidP="005D6057">
            <w:pPr>
              <w:spacing w:line="240" w:lineRule="auto"/>
            </w:pPr>
            <w:r w:rsidRPr="007F3063">
              <w:t>Generation</w:t>
            </w:r>
          </w:p>
        </w:tc>
        <w:tc>
          <w:tcPr>
            <w:tcW w:w="1300" w:type="dxa"/>
            <w:tcBorders>
              <w:top w:val="nil"/>
              <w:left w:val="nil"/>
              <w:bottom w:val="single" w:sz="4" w:space="0" w:color="auto"/>
              <w:right w:val="single" w:sz="4" w:space="0" w:color="auto"/>
            </w:tcBorders>
            <w:shd w:val="clear" w:color="auto" w:fill="auto"/>
            <w:noWrap/>
            <w:vAlign w:val="center"/>
            <w:hideMark/>
          </w:tcPr>
          <w:p w14:paraId="66A90B3B" w14:textId="77777777" w:rsidR="007F3063" w:rsidRDefault="007F3063" w:rsidP="005D6057">
            <w:pPr>
              <w:spacing w:line="240" w:lineRule="auto"/>
            </w:pPr>
            <w:r>
              <w:t>0</w:t>
            </w:r>
          </w:p>
        </w:tc>
      </w:tr>
      <w:tr w:rsidR="007F3063" w14:paraId="4A36F9B0" w14:textId="77777777" w:rsidTr="009B7ACF">
        <w:trPr>
          <w:trHeight w:val="34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B58AE16" w14:textId="77777777" w:rsidR="007F3063" w:rsidRPr="007F3063" w:rsidRDefault="007F3063" w:rsidP="005D6057">
            <w:pPr>
              <w:spacing w:line="240" w:lineRule="auto"/>
            </w:pPr>
            <w:r w:rsidRPr="007F3063">
              <w:t>Distribution</w:t>
            </w:r>
          </w:p>
        </w:tc>
        <w:tc>
          <w:tcPr>
            <w:tcW w:w="1300" w:type="dxa"/>
            <w:tcBorders>
              <w:top w:val="nil"/>
              <w:left w:val="nil"/>
              <w:bottom w:val="single" w:sz="4" w:space="0" w:color="auto"/>
              <w:right w:val="single" w:sz="4" w:space="0" w:color="auto"/>
            </w:tcBorders>
            <w:shd w:val="clear" w:color="auto" w:fill="auto"/>
            <w:noWrap/>
            <w:vAlign w:val="center"/>
            <w:hideMark/>
          </w:tcPr>
          <w:p w14:paraId="241B6679" w14:textId="77777777" w:rsidR="007F3063" w:rsidRDefault="007F3063" w:rsidP="005D6057">
            <w:pPr>
              <w:spacing w:line="240" w:lineRule="auto"/>
            </w:pPr>
            <w:r>
              <w:t>1</w:t>
            </w:r>
          </w:p>
        </w:tc>
      </w:tr>
      <w:tr w:rsidR="007F3063" w14:paraId="26F470FE" w14:textId="77777777" w:rsidTr="009B7ACF">
        <w:trPr>
          <w:trHeight w:val="68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A15A496" w14:textId="77777777" w:rsidR="007F3063" w:rsidRPr="007F3063" w:rsidRDefault="007F3063" w:rsidP="005D6057">
            <w:pPr>
              <w:spacing w:line="240" w:lineRule="auto"/>
            </w:pPr>
            <w:r w:rsidRPr="007F3063">
              <w:t>Generation and Distribution</w:t>
            </w:r>
          </w:p>
        </w:tc>
        <w:tc>
          <w:tcPr>
            <w:tcW w:w="1300" w:type="dxa"/>
            <w:tcBorders>
              <w:top w:val="nil"/>
              <w:left w:val="nil"/>
              <w:bottom w:val="single" w:sz="4" w:space="0" w:color="auto"/>
              <w:right w:val="single" w:sz="4" w:space="0" w:color="auto"/>
            </w:tcBorders>
            <w:shd w:val="clear" w:color="auto" w:fill="auto"/>
            <w:noWrap/>
            <w:vAlign w:val="center"/>
            <w:hideMark/>
          </w:tcPr>
          <w:p w14:paraId="6B57EB8D" w14:textId="77777777" w:rsidR="007F3063" w:rsidRDefault="007F3063" w:rsidP="005D6057">
            <w:pPr>
              <w:spacing w:line="240" w:lineRule="auto"/>
            </w:pPr>
            <w:r>
              <w:t>2</w:t>
            </w:r>
          </w:p>
        </w:tc>
      </w:tr>
      <w:tr w:rsidR="007F3063" w14:paraId="59FDC5D9" w14:textId="77777777" w:rsidTr="009B7ACF">
        <w:trPr>
          <w:trHeight w:val="34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A9F81FD" w14:textId="77777777" w:rsidR="007F3063" w:rsidRPr="007F3063" w:rsidRDefault="007F3063" w:rsidP="005D6057">
            <w:pPr>
              <w:spacing w:line="240" w:lineRule="auto"/>
            </w:pPr>
            <w:r w:rsidRPr="007F3063">
              <w:t>Technology</w:t>
            </w:r>
          </w:p>
        </w:tc>
        <w:tc>
          <w:tcPr>
            <w:tcW w:w="1300" w:type="dxa"/>
            <w:tcBorders>
              <w:top w:val="nil"/>
              <w:left w:val="nil"/>
              <w:bottom w:val="single" w:sz="4" w:space="0" w:color="auto"/>
              <w:right w:val="single" w:sz="4" w:space="0" w:color="auto"/>
            </w:tcBorders>
            <w:shd w:val="clear" w:color="auto" w:fill="auto"/>
            <w:noWrap/>
            <w:vAlign w:val="center"/>
            <w:hideMark/>
          </w:tcPr>
          <w:p w14:paraId="244A85DA" w14:textId="77777777" w:rsidR="007F3063" w:rsidRDefault="007F3063" w:rsidP="005D6057">
            <w:pPr>
              <w:spacing w:line="240" w:lineRule="auto"/>
            </w:pPr>
            <w:r>
              <w:t>3</w:t>
            </w:r>
          </w:p>
        </w:tc>
      </w:tr>
      <w:tr w:rsidR="007F3063" w14:paraId="7460C60D" w14:textId="77777777" w:rsidTr="009B7ACF">
        <w:trPr>
          <w:trHeight w:val="68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779C04DF" w14:textId="77777777" w:rsidR="007F3063" w:rsidRPr="007F3063" w:rsidRDefault="007F3063" w:rsidP="005D6057">
            <w:pPr>
              <w:spacing w:line="240" w:lineRule="auto"/>
            </w:pPr>
            <w:r w:rsidRPr="007F3063">
              <w:t>Natural Gas Transportation</w:t>
            </w:r>
          </w:p>
        </w:tc>
        <w:tc>
          <w:tcPr>
            <w:tcW w:w="1300" w:type="dxa"/>
            <w:tcBorders>
              <w:top w:val="nil"/>
              <w:left w:val="nil"/>
              <w:bottom w:val="single" w:sz="4" w:space="0" w:color="auto"/>
              <w:right w:val="single" w:sz="4" w:space="0" w:color="auto"/>
            </w:tcBorders>
            <w:shd w:val="clear" w:color="auto" w:fill="auto"/>
            <w:noWrap/>
            <w:vAlign w:val="center"/>
            <w:hideMark/>
          </w:tcPr>
          <w:p w14:paraId="3773E68F" w14:textId="77777777" w:rsidR="007F3063" w:rsidRDefault="007F3063" w:rsidP="005D6057">
            <w:pPr>
              <w:spacing w:line="240" w:lineRule="auto"/>
            </w:pPr>
            <w:r>
              <w:t>4</w:t>
            </w:r>
          </w:p>
        </w:tc>
      </w:tr>
    </w:tbl>
    <w:p w14:paraId="78B6D6B7" w14:textId="51551151" w:rsidR="009F0EB2" w:rsidRPr="009F0EB2" w:rsidRDefault="009F0EB2" w:rsidP="009B7ACF">
      <w:pPr>
        <w:pStyle w:val="Caption"/>
        <w:keepNext/>
        <w:jc w:val="center"/>
        <w:rPr>
          <w:b/>
          <w:bCs/>
          <w:i w:val="0"/>
          <w:iCs w:val="0"/>
          <w:color w:val="000000" w:themeColor="text1"/>
          <w:sz w:val="24"/>
          <w:szCs w:val="24"/>
        </w:rPr>
      </w:pPr>
      <w:r w:rsidRPr="009F0EB2">
        <w:rPr>
          <w:b/>
          <w:bCs/>
          <w:i w:val="0"/>
          <w:iCs w:val="0"/>
          <w:color w:val="000000" w:themeColor="text1"/>
          <w:sz w:val="24"/>
          <w:szCs w:val="24"/>
        </w:rPr>
        <w:t xml:space="preserve">Table </w:t>
      </w:r>
      <w:r w:rsidRPr="009F0EB2">
        <w:rPr>
          <w:b/>
          <w:bCs/>
          <w:i w:val="0"/>
          <w:iCs w:val="0"/>
          <w:color w:val="000000" w:themeColor="text1"/>
          <w:sz w:val="24"/>
          <w:szCs w:val="24"/>
        </w:rPr>
        <w:fldChar w:fldCharType="begin"/>
      </w:r>
      <w:r w:rsidRPr="009F0EB2">
        <w:rPr>
          <w:b/>
          <w:bCs/>
          <w:i w:val="0"/>
          <w:iCs w:val="0"/>
          <w:color w:val="000000" w:themeColor="text1"/>
          <w:sz w:val="24"/>
          <w:szCs w:val="24"/>
        </w:rPr>
        <w:instrText xml:space="preserve"> SEQ Table \* ARABIC </w:instrText>
      </w:r>
      <w:r w:rsidRPr="009F0EB2">
        <w:rPr>
          <w:b/>
          <w:bCs/>
          <w:i w:val="0"/>
          <w:iCs w:val="0"/>
          <w:color w:val="000000" w:themeColor="text1"/>
          <w:sz w:val="24"/>
          <w:szCs w:val="24"/>
        </w:rPr>
        <w:fldChar w:fldCharType="separate"/>
      </w:r>
      <w:r w:rsidR="00AD3F3F">
        <w:rPr>
          <w:b/>
          <w:bCs/>
          <w:i w:val="0"/>
          <w:iCs w:val="0"/>
          <w:noProof/>
          <w:color w:val="000000" w:themeColor="text1"/>
          <w:sz w:val="24"/>
          <w:szCs w:val="24"/>
        </w:rPr>
        <w:t>5</w:t>
      </w:r>
      <w:r w:rsidRPr="009F0EB2">
        <w:rPr>
          <w:b/>
          <w:bCs/>
          <w:i w:val="0"/>
          <w:iCs w:val="0"/>
          <w:color w:val="000000" w:themeColor="text1"/>
          <w:sz w:val="24"/>
          <w:szCs w:val="24"/>
        </w:rPr>
        <w:fldChar w:fldCharType="end"/>
      </w:r>
      <w:r w:rsidRPr="009F0EB2">
        <w:rPr>
          <w:b/>
          <w:bCs/>
          <w:i w:val="0"/>
          <w:iCs w:val="0"/>
          <w:color w:val="000000" w:themeColor="text1"/>
          <w:sz w:val="24"/>
          <w:szCs w:val="24"/>
        </w:rPr>
        <w:t>. XUSRD Index Dummy</w:t>
      </w:r>
    </w:p>
    <w:tbl>
      <w:tblPr>
        <w:tblW w:w="4080" w:type="dxa"/>
        <w:jc w:val="center"/>
        <w:tblCellMar>
          <w:left w:w="70" w:type="dxa"/>
          <w:right w:w="70" w:type="dxa"/>
        </w:tblCellMar>
        <w:tblLook w:val="04A0" w:firstRow="1" w:lastRow="0" w:firstColumn="1" w:lastColumn="0" w:noHBand="0" w:noVBand="1"/>
      </w:tblPr>
      <w:tblGrid>
        <w:gridCol w:w="2780"/>
        <w:gridCol w:w="1300"/>
      </w:tblGrid>
      <w:tr w:rsidR="007F3063" w14:paraId="410880CF" w14:textId="77777777" w:rsidTr="009B7ACF">
        <w:trPr>
          <w:trHeight w:val="680"/>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D2AA" w14:textId="4A9EDA41" w:rsidR="007F3063" w:rsidRPr="009F0EB2" w:rsidRDefault="007F3063" w:rsidP="005D6057">
            <w:pPr>
              <w:spacing w:line="240" w:lineRule="auto"/>
              <w:rPr>
                <w:b/>
                <w:bCs/>
              </w:rPr>
            </w:pPr>
            <w:r w:rsidRPr="009F0EB2">
              <w:rPr>
                <w:b/>
                <w:bCs/>
              </w:rPr>
              <w:t>XUSRD</w:t>
            </w:r>
            <w:r w:rsidR="009F0EB2" w:rsidRPr="009F0EB2">
              <w:rPr>
                <w:b/>
                <w:bCs/>
              </w:rPr>
              <w:t xml:space="preserve"> Index</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5A5B474" w14:textId="081AC900" w:rsidR="007F3063" w:rsidRPr="009F0EB2" w:rsidRDefault="007F3063" w:rsidP="005D6057">
            <w:pPr>
              <w:spacing w:line="240" w:lineRule="auto"/>
              <w:rPr>
                <w:b/>
                <w:bCs/>
              </w:rPr>
            </w:pPr>
            <w:r w:rsidRPr="009F0EB2">
              <w:rPr>
                <w:b/>
                <w:bCs/>
              </w:rPr>
              <w:t>Value</w:t>
            </w:r>
          </w:p>
        </w:tc>
      </w:tr>
      <w:tr w:rsidR="007F3063" w14:paraId="1C331F3B" w14:textId="77777777" w:rsidTr="009B7ACF">
        <w:trPr>
          <w:trHeight w:val="34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7E4267A7" w14:textId="79CBF066" w:rsidR="007F3063" w:rsidRDefault="007F3063" w:rsidP="005D6057">
            <w:pPr>
              <w:spacing w:line="240" w:lineRule="auto"/>
            </w:pPr>
            <w:r>
              <w:t xml:space="preserve">Not </w:t>
            </w:r>
            <w:r w:rsidR="00A36305">
              <w:t>Listed</w:t>
            </w:r>
          </w:p>
        </w:tc>
        <w:tc>
          <w:tcPr>
            <w:tcW w:w="1300" w:type="dxa"/>
            <w:tcBorders>
              <w:top w:val="nil"/>
              <w:left w:val="nil"/>
              <w:bottom w:val="single" w:sz="4" w:space="0" w:color="auto"/>
              <w:right w:val="single" w:sz="4" w:space="0" w:color="auto"/>
            </w:tcBorders>
            <w:shd w:val="clear" w:color="auto" w:fill="auto"/>
            <w:noWrap/>
            <w:vAlign w:val="center"/>
            <w:hideMark/>
          </w:tcPr>
          <w:p w14:paraId="548F656E" w14:textId="77777777" w:rsidR="007F3063" w:rsidRDefault="007F3063" w:rsidP="005D6057">
            <w:pPr>
              <w:spacing w:line="240" w:lineRule="auto"/>
            </w:pPr>
            <w:r>
              <w:t>0</w:t>
            </w:r>
          </w:p>
        </w:tc>
      </w:tr>
      <w:tr w:rsidR="007F3063" w14:paraId="2AA1A7C8" w14:textId="77777777" w:rsidTr="009B7ACF">
        <w:trPr>
          <w:trHeight w:val="340"/>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7041CDFB" w14:textId="77531BFB" w:rsidR="007F3063" w:rsidRDefault="00A36305" w:rsidP="005D6057">
            <w:pPr>
              <w:spacing w:line="240" w:lineRule="auto"/>
            </w:pPr>
            <w:r>
              <w:t>Listed</w:t>
            </w:r>
          </w:p>
        </w:tc>
        <w:tc>
          <w:tcPr>
            <w:tcW w:w="1300" w:type="dxa"/>
            <w:tcBorders>
              <w:top w:val="nil"/>
              <w:left w:val="nil"/>
              <w:bottom w:val="single" w:sz="4" w:space="0" w:color="auto"/>
              <w:right w:val="single" w:sz="4" w:space="0" w:color="auto"/>
            </w:tcBorders>
            <w:shd w:val="clear" w:color="auto" w:fill="auto"/>
            <w:noWrap/>
            <w:vAlign w:val="center"/>
            <w:hideMark/>
          </w:tcPr>
          <w:p w14:paraId="27881530" w14:textId="77777777" w:rsidR="007F3063" w:rsidRDefault="007F3063" w:rsidP="005D6057">
            <w:pPr>
              <w:spacing w:line="240" w:lineRule="auto"/>
            </w:pPr>
            <w:r>
              <w:t>1</w:t>
            </w:r>
          </w:p>
        </w:tc>
      </w:tr>
    </w:tbl>
    <w:p w14:paraId="1D3F358F" w14:textId="3BEBD527" w:rsidR="006E4221" w:rsidRDefault="006E4221" w:rsidP="006E4221">
      <w:r>
        <w:t>I</w:t>
      </w:r>
      <w:r w:rsidRPr="006E4221">
        <w:t>n order to more accurately determine the specific relationship between the variables of interest</w:t>
      </w:r>
      <w:r>
        <w:t xml:space="preserve">, </w:t>
      </w:r>
      <w:proofErr w:type="spellStart"/>
      <w:r>
        <w:t>LVR</w:t>
      </w:r>
      <w:r w:rsidRPr="006E4221">
        <w:rPr>
          <w:vertAlign w:val="subscript"/>
        </w:rPr>
        <w:t>it</w:t>
      </w:r>
      <w:proofErr w:type="spellEnd"/>
      <w:r>
        <w:t xml:space="preserve"> and </w:t>
      </w:r>
      <w:proofErr w:type="spellStart"/>
      <w:r>
        <w:t>SZE</w:t>
      </w:r>
      <w:r w:rsidRPr="006E4221">
        <w:rPr>
          <w:vertAlign w:val="subscript"/>
        </w:rPr>
        <w:t>it</w:t>
      </w:r>
      <w:proofErr w:type="spellEnd"/>
      <w:r>
        <w:t xml:space="preserve"> are introduced to models as control variables [22],[23],[25]. </w:t>
      </w:r>
      <w:proofErr w:type="spellStart"/>
      <w:r>
        <w:t>LVR</w:t>
      </w:r>
      <w:r w:rsidRPr="006E4221">
        <w:rPr>
          <w:vertAlign w:val="subscript"/>
        </w:rPr>
        <w:t>it</w:t>
      </w:r>
      <w:proofErr w:type="spellEnd"/>
      <w:r>
        <w:t xml:space="preserve"> represents leverage ratio of the company </w:t>
      </w:r>
      <w:proofErr w:type="spellStart"/>
      <w:r>
        <w:t>i</w:t>
      </w:r>
      <w:proofErr w:type="spellEnd"/>
      <w:r>
        <w:t xml:space="preserve"> in year t. </w:t>
      </w:r>
      <w:r w:rsidR="00AC14AE">
        <w:t>Similarly,</w:t>
      </w:r>
      <w:r>
        <w:t xml:space="preserve"> </w:t>
      </w:r>
      <w:proofErr w:type="spellStart"/>
      <w:r>
        <w:t>SZE</w:t>
      </w:r>
      <w:r w:rsidRPr="006E4221">
        <w:rPr>
          <w:vertAlign w:val="subscript"/>
        </w:rPr>
        <w:t>it</w:t>
      </w:r>
      <w:proofErr w:type="spellEnd"/>
      <w:r>
        <w:t xml:space="preserve"> represents size of the company </w:t>
      </w:r>
      <w:proofErr w:type="spellStart"/>
      <w:r>
        <w:t>i</w:t>
      </w:r>
      <w:proofErr w:type="spellEnd"/>
      <w:r>
        <w:t xml:space="preserve"> in year t. Equations for </w:t>
      </w:r>
      <w:proofErr w:type="spellStart"/>
      <w:r>
        <w:t>LVR</w:t>
      </w:r>
      <w:r w:rsidRPr="006E4221">
        <w:rPr>
          <w:vertAlign w:val="subscript"/>
        </w:rPr>
        <w:t>it</w:t>
      </w:r>
      <w:proofErr w:type="spellEnd"/>
      <w:r>
        <w:t xml:space="preserve"> and </w:t>
      </w:r>
      <w:proofErr w:type="spellStart"/>
      <w:r>
        <w:t>SZE</w:t>
      </w:r>
      <w:r w:rsidRPr="006E4221">
        <w:rPr>
          <w:vertAlign w:val="subscript"/>
        </w:rPr>
        <w:t>it</w:t>
      </w:r>
      <w:proofErr w:type="spellEnd"/>
      <w:r>
        <w:t xml:space="preserve"> are given below. </w:t>
      </w:r>
    </w:p>
    <w:p w14:paraId="34CA669D" w14:textId="24447AEB" w:rsidR="006E4221" w:rsidRPr="007F1E7B" w:rsidRDefault="00786B30" w:rsidP="006E4221">
      <w:pPr>
        <w:rPr>
          <w:bCs/>
        </w:rPr>
      </w:pPr>
      <m:oMathPara>
        <m:oMathParaPr>
          <m:jc m:val="left"/>
        </m:oMathParaPr>
        <m:oMath>
          <m:sSub>
            <m:sSubPr>
              <m:ctrlPr>
                <w:rPr>
                  <w:rFonts w:ascii="Cambria Math" w:hAnsi="Cambria Math"/>
                  <w:bCs/>
                </w:rPr>
              </m:ctrlPr>
            </m:sSubPr>
            <m:e>
              <m:r>
                <w:rPr>
                  <w:rFonts w:ascii="Cambria Math" w:hAnsi="Cambria Math"/>
                </w:rPr>
                <m:t>LVR</m:t>
              </m:r>
            </m:e>
            <m:sub>
              <m:r>
                <w:rPr>
                  <w:rFonts w:ascii="Cambria Math" w:hAnsi="Cambria Math"/>
                </w:rPr>
                <m:t>it</m:t>
              </m:r>
            </m:sub>
          </m:sSub>
          <m:r>
            <m:rPr>
              <m:sty m:val="p"/>
            </m:rPr>
            <w:rPr>
              <w:rFonts w:ascii="Cambria Math" w:hAnsi="Cambria Math"/>
            </w:rPr>
            <m:t xml:space="preserve"> = </m:t>
          </m:r>
          <m:sSub>
            <m:sSubPr>
              <m:ctrlPr>
                <w:rPr>
                  <w:rFonts w:ascii="Cambria Math" w:eastAsiaTheme="minorHAnsi" w:hAnsi="Cambria Math"/>
                  <w:bCs/>
                  <w:lang w:eastAsia="en-US"/>
                </w:rPr>
              </m:ctrlPr>
            </m:sSubPr>
            <m:e>
              <m:r>
                <w:rPr>
                  <w:rFonts w:ascii="Cambria Math" w:hAnsi="Cambria Math"/>
                </w:rPr>
                <m:t>Total</m:t>
              </m:r>
              <m:r>
                <w:rPr>
                  <w:rFonts w:ascii="Cambria Math" w:hAnsi="Cambria Math"/>
                </w:rPr>
                <m:t xml:space="preserve"> </m:t>
              </m:r>
              <m:r>
                <w:rPr>
                  <w:rFonts w:ascii="Cambria Math" w:hAnsi="Cambria Math"/>
                </w:rPr>
                <m:t>Debts</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Total</m:t>
              </m:r>
              <m:r>
                <m:rPr>
                  <m:sty m:val="p"/>
                </m:rPr>
                <w:rPr>
                  <w:rFonts w:ascii="Cambria Math" w:hAnsi="Cambria Math"/>
                </w:rPr>
                <m:t xml:space="preserve"> </m:t>
              </m:r>
              <m:r>
                <w:rPr>
                  <w:rFonts w:ascii="Cambria Math" w:hAnsi="Cambria Math"/>
                </w:rPr>
                <m:t>Assets</m:t>
              </m:r>
            </m:e>
            <m:sub>
              <m:r>
                <w:rPr>
                  <w:rFonts w:ascii="Cambria Math" w:hAnsi="Cambria Math"/>
                </w:rPr>
                <m:t>it</m:t>
              </m:r>
            </m:sub>
          </m:sSub>
        </m:oMath>
      </m:oMathPara>
    </w:p>
    <w:p w14:paraId="7604E4CC" w14:textId="4ED1C729" w:rsidR="006E4221" w:rsidRPr="006E4221" w:rsidRDefault="00786B30" w:rsidP="006E4221">
      <m:oMathPara>
        <m:oMathParaPr>
          <m:jc m:val="left"/>
        </m:oMathParaPr>
        <m:oMath>
          <m:sSub>
            <m:sSubPr>
              <m:ctrlPr>
                <w:rPr>
                  <w:rFonts w:ascii="Cambria Math" w:hAnsi="Cambria Math"/>
                  <w:bCs/>
                </w:rPr>
              </m:ctrlPr>
            </m:sSubPr>
            <m:e>
              <m:r>
                <w:rPr>
                  <w:rFonts w:ascii="Cambria Math" w:hAnsi="Cambria Math"/>
                </w:rPr>
                <m:t>SZE</m:t>
              </m:r>
            </m:e>
            <m:sub>
              <m:r>
                <w:rPr>
                  <w:rFonts w:ascii="Cambria Math" w:hAnsi="Cambria Math"/>
                </w:rPr>
                <m:t>it</m:t>
              </m:r>
            </m:sub>
          </m:sSub>
          <m:r>
            <m:rPr>
              <m:sty m:val="p"/>
            </m:rPr>
            <w:rPr>
              <w:rFonts w:ascii="Cambria Math" w:hAnsi="Cambria Math"/>
            </w:rPr>
            <m:t xml:space="preserve"> =</m:t>
          </m:r>
          <m:func>
            <m:funcPr>
              <m:ctrlPr>
                <w:rPr>
                  <w:rFonts w:ascii="Cambria Math" w:eastAsiaTheme="minorHAnsi" w:hAnsi="Cambria Math"/>
                  <w:bCs/>
                  <w:lang w:eastAsia="en-US"/>
                </w:rPr>
              </m:ctrlPr>
            </m:funcPr>
            <m:fName>
              <m:r>
                <m:rPr>
                  <m:sty m:val="p"/>
                </m:rPr>
                <w:rPr>
                  <w:rFonts w:ascii="Cambria Math" w:eastAsiaTheme="minorHAnsi" w:hAnsi="Cambria Math"/>
                  <w:lang w:eastAsia="en-US"/>
                </w:rPr>
                <m:t>ln</m:t>
              </m:r>
              <m:ctrlPr>
                <w:rPr>
                  <w:rFonts w:ascii="Cambria Math" w:hAnsi="Cambria Math"/>
                </w:rPr>
              </m:ctrlPr>
            </m:fName>
            <m:e>
              <m:r>
                <w:rPr>
                  <w:rFonts w:ascii="Cambria Math" w:hAnsi="Cambria Math"/>
                </w:rPr>
                <m:t xml:space="preserve"> (</m:t>
              </m:r>
            </m:e>
          </m:func>
          <m:sSub>
            <m:sSubPr>
              <m:ctrlPr>
                <w:rPr>
                  <w:rFonts w:ascii="Cambria Math" w:hAnsi="Cambria Math"/>
                  <w:bCs/>
                </w:rPr>
              </m:ctrlPr>
            </m:sSubPr>
            <m:e>
              <m:r>
                <w:rPr>
                  <w:rFonts w:ascii="Cambria Math" w:hAnsi="Cambria Math"/>
                </w:rPr>
                <m:t>Total</m:t>
              </m:r>
              <m:r>
                <m:rPr>
                  <m:sty m:val="p"/>
                </m:rPr>
                <w:rPr>
                  <w:rFonts w:ascii="Cambria Math" w:hAnsi="Cambria Math"/>
                </w:rPr>
                <m:t xml:space="preserve"> </m:t>
              </m:r>
              <m:r>
                <w:rPr>
                  <w:rFonts w:ascii="Cambria Math" w:hAnsi="Cambria Math"/>
                </w:rPr>
                <m:t>Assets</m:t>
              </m:r>
            </m:e>
            <m:sub>
              <m:r>
                <w:rPr>
                  <w:rFonts w:ascii="Cambria Math" w:hAnsi="Cambria Math"/>
                </w:rPr>
                <m:t>it</m:t>
              </m:r>
            </m:sub>
          </m:sSub>
          <m:r>
            <w:rPr>
              <w:rFonts w:ascii="Cambria Math" w:hAnsi="Cambria Math"/>
            </w:rPr>
            <m:t>)</m:t>
          </m:r>
        </m:oMath>
      </m:oMathPara>
    </w:p>
    <w:p w14:paraId="0CF447AE" w14:textId="559AEB28" w:rsidR="0030451E" w:rsidRDefault="00E761C5" w:rsidP="005F5649">
      <w:pPr>
        <w:pStyle w:val="Heading3"/>
        <w:spacing w:beforeAutospacing="0"/>
      </w:pPr>
      <w:r>
        <w:t xml:space="preserve">Regression </w:t>
      </w:r>
      <w:r w:rsidR="0076033C">
        <w:t>Model</w:t>
      </w:r>
    </w:p>
    <w:p w14:paraId="7D3501D5" w14:textId="55E143BA" w:rsidR="00922C29" w:rsidRPr="002D0AD1" w:rsidRDefault="00922C29" w:rsidP="0030451E">
      <w:pPr>
        <w:rPr>
          <w:highlight w:val="yellow"/>
        </w:rPr>
      </w:pPr>
      <w:r w:rsidRPr="00922C29">
        <w:t>As shown in the literature table, researchers often use panel data regression to show how a dependent variable changes over time for multiple subjects.</w:t>
      </w:r>
      <w:r>
        <w:t xml:space="preserve"> </w:t>
      </w:r>
      <w:r w:rsidRPr="00922C29">
        <w:t>The panel data regression models to be used in this study are given below.</w:t>
      </w:r>
    </w:p>
    <w:p w14:paraId="0414B83F" w14:textId="77777777" w:rsidR="0030451E" w:rsidRPr="001F499A" w:rsidRDefault="00786B30" w:rsidP="0030451E">
      <w:pPr>
        <w:rPr>
          <w:rFonts w:eastAsiaTheme="minorEastAsia"/>
          <w:bCs/>
        </w:rPr>
      </w:pPr>
      <m:oMathPara>
        <m:oMathParaPr>
          <m:jc m:val="left"/>
        </m:oMathParaPr>
        <m:oMath>
          <m:d>
            <m:dPr>
              <m:ctrlPr>
                <w:rPr>
                  <w:rFonts w:ascii="Cambria Math" w:hAnsi="Cambria Math"/>
                  <w:bCs/>
                </w:rPr>
              </m:ctrlPr>
            </m:dPr>
            <m:e>
              <m:r>
                <m:rPr>
                  <m:sty m:val="p"/>
                </m:rPr>
                <w:rPr>
                  <w:rFonts w:ascii="Cambria Math" w:hAnsi="Cambria Math"/>
                </w:rPr>
                <m:t>1</m:t>
              </m:r>
            </m:e>
          </m:d>
          <m:r>
            <m:rPr>
              <m:sty m:val="p"/>
            </m:rPr>
            <w:rPr>
              <w:rFonts w:ascii="Cambria Math" w:hAnsi="Cambria Math"/>
            </w:rPr>
            <m:t xml:space="preserve"> </m:t>
          </m:r>
          <m:sSub>
            <m:sSubPr>
              <m:ctrlPr>
                <w:rPr>
                  <w:rFonts w:ascii="Cambria Math" w:hAnsi="Cambria Math"/>
                  <w:bCs/>
                </w:rPr>
              </m:ctrlPr>
            </m:sSubPr>
            <m:e>
              <m:r>
                <w:rPr>
                  <w:rFonts w:ascii="Cambria Math" w:hAnsi="Cambria Math"/>
                </w:rPr>
                <m:t>ROA</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1</m:t>
              </m:r>
            </m:sub>
          </m:sSub>
          <m:sSub>
            <m:sSubPr>
              <m:ctrlPr>
                <w:rPr>
                  <w:rFonts w:ascii="Cambria Math" w:hAnsi="Cambria Math"/>
                  <w:bCs/>
                </w:rPr>
              </m:ctrlPr>
            </m:sSubPr>
            <m:e>
              <m:r>
                <w:rPr>
                  <w:rFonts w:ascii="Cambria Math" w:hAnsi="Cambria Math"/>
                </w:rPr>
                <m:t>ESG</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2</m:t>
              </m:r>
            </m:sub>
          </m:sSub>
          <m:sSub>
            <m:sSubPr>
              <m:ctrlPr>
                <w:rPr>
                  <w:rFonts w:ascii="Cambria Math" w:hAnsi="Cambria Math"/>
                  <w:bCs/>
                </w:rPr>
              </m:ctrlPr>
            </m:sSubPr>
            <m:e>
              <m:r>
                <w:rPr>
                  <w:rFonts w:ascii="Cambria Math" w:hAnsi="Cambria Math"/>
                </w:rPr>
                <m:t>MRE</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3</m:t>
              </m:r>
            </m:sub>
          </m:sSub>
          <m:sSub>
            <m:sSubPr>
              <m:ctrlPr>
                <w:rPr>
                  <w:rFonts w:ascii="Cambria Math" w:hAnsi="Cambria Math"/>
                  <w:bCs/>
                </w:rPr>
              </m:ctrlPr>
            </m:sSubPr>
            <m:e>
              <m:r>
                <w:rPr>
                  <w:rFonts w:ascii="Cambria Math" w:hAnsi="Cambria Math"/>
                </w:rPr>
                <m:t>SUB</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4</m:t>
              </m:r>
            </m:sub>
          </m:sSub>
          <m:sSub>
            <m:sSubPr>
              <m:ctrlPr>
                <w:rPr>
                  <w:rFonts w:ascii="Cambria Math" w:hAnsi="Cambria Math"/>
                  <w:bCs/>
                </w:rPr>
              </m:ctrlPr>
            </m:sSubPr>
            <m:e>
              <m:r>
                <w:rPr>
                  <w:rFonts w:ascii="Cambria Math" w:hAnsi="Cambria Math"/>
                </w:rPr>
                <m:t>XUSRD</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5</m:t>
              </m:r>
            </m:sub>
          </m:sSub>
          <m:sSub>
            <m:sSubPr>
              <m:ctrlPr>
                <w:rPr>
                  <w:rFonts w:ascii="Cambria Math" w:hAnsi="Cambria Math"/>
                  <w:bCs/>
                </w:rPr>
              </m:ctrlPr>
            </m:sSubPr>
            <m:e>
              <m:r>
                <w:rPr>
                  <w:rFonts w:ascii="Cambria Math" w:hAnsi="Cambria Math"/>
                </w:rPr>
                <m:t>LVR</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6</m:t>
              </m:r>
            </m:sub>
          </m:sSub>
          <m:sSub>
            <m:sSubPr>
              <m:ctrlPr>
                <w:rPr>
                  <w:rFonts w:ascii="Cambria Math" w:hAnsi="Cambria Math"/>
                  <w:bCs/>
                </w:rPr>
              </m:ctrlPr>
            </m:sSubPr>
            <m:e>
              <m:r>
                <w:rPr>
                  <w:rFonts w:ascii="Cambria Math" w:hAnsi="Cambria Math"/>
                </w:rPr>
                <m:t>SZE</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ε</m:t>
              </m:r>
            </m:e>
            <m:sub>
              <m:r>
                <w:rPr>
                  <w:rFonts w:ascii="Cambria Math" w:hAnsi="Cambria Math"/>
                </w:rPr>
                <m:t>it</m:t>
              </m:r>
            </m:sub>
          </m:sSub>
        </m:oMath>
      </m:oMathPara>
    </w:p>
    <w:p w14:paraId="29ECF2EC" w14:textId="77777777" w:rsidR="0030451E" w:rsidRPr="001F499A" w:rsidRDefault="00786B30" w:rsidP="0030451E">
      <w:pPr>
        <w:rPr>
          <w:rFonts w:eastAsiaTheme="minorEastAsia"/>
          <w:bCs/>
        </w:rPr>
      </w:pPr>
      <m:oMathPara>
        <m:oMathParaPr>
          <m:jc m:val="left"/>
        </m:oMathParaPr>
        <m:oMath>
          <m:d>
            <m:dPr>
              <m:ctrlPr>
                <w:rPr>
                  <w:rFonts w:ascii="Cambria Math" w:hAnsi="Cambria Math"/>
                  <w:bCs/>
                </w:rPr>
              </m:ctrlPr>
            </m:dPr>
            <m:e>
              <m:r>
                <m:rPr>
                  <m:sty m:val="p"/>
                </m:rPr>
                <w:rPr>
                  <w:rFonts w:ascii="Cambria Math" w:hAnsi="Cambria Math"/>
                </w:rPr>
                <m:t>2</m:t>
              </m:r>
            </m:e>
          </m:d>
          <m:r>
            <m:rPr>
              <m:sty m:val="p"/>
            </m:rPr>
            <w:rPr>
              <w:rFonts w:ascii="Cambria Math" w:hAnsi="Cambria Math"/>
            </w:rPr>
            <m:t xml:space="preserve"> </m:t>
          </m:r>
          <m:sSub>
            <m:sSubPr>
              <m:ctrlPr>
                <w:rPr>
                  <w:rFonts w:ascii="Cambria Math" w:hAnsi="Cambria Math"/>
                  <w:bCs/>
                </w:rPr>
              </m:ctrlPr>
            </m:sSubPr>
            <m:e>
              <m:r>
                <w:rPr>
                  <w:rFonts w:ascii="Cambria Math" w:hAnsi="Cambria Math"/>
                </w:rPr>
                <m:t>ROA</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1</m:t>
              </m:r>
            </m:sub>
          </m:sSub>
          <m:sSub>
            <m:sSubPr>
              <m:ctrlPr>
                <w:rPr>
                  <w:rFonts w:ascii="Cambria Math" w:hAnsi="Cambria Math"/>
                  <w:bCs/>
                </w:rPr>
              </m:ctrlPr>
            </m:sSubPr>
            <m:e>
              <m:r>
                <w:rPr>
                  <w:rFonts w:ascii="Cambria Math" w:hAnsi="Cambria Math"/>
                </w:rPr>
                <m:t>E</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2</m:t>
              </m:r>
            </m:sub>
          </m:sSub>
          <m:sSub>
            <m:sSubPr>
              <m:ctrlPr>
                <w:rPr>
                  <w:rFonts w:ascii="Cambria Math" w:hAnsi="Cambria Math"/>
                  <w:bCs/>
                </w:rPr>
              </m:ctrlPr>
            </m:sSubPr>
            <m:e>
              <m:r>
                <w:rPr>
                  <w:rFonts w:ascii="Cambria Math" w:hAnsi="Cambria Math"/>
                </w:rPr>
                <m:t>S</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3</m:t>
              </m:r>
            </m:sub>
          </m:sSub>
          <m:sSub>
            <m:sSubPr>
              <m:ctrlPr>
                <w:rPr>
                  <w:rFonts w:ascii="Cambria Math" w:hAnsi="Cambria Math"/>
                  <w:bCs/>
                </w:rPr>
              </m:ctrlPr>
            </m:sSubPr>
            <m:e>
              <m:r>
                <w:rPr>
                  <w:rFonts w:ascii="Cambria Math" w:hAnsi="Cambria Math"/>
                </w:rPr>
                <m:t>G</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4</m:t>
              </m:r>
            </m:sub>
          </m:sSub>
          <m:sSub>
            <m:sSubPr>
              <m:ctrlPr>
                <w:rPr>
                  <w:rFonts w:ascii="Cambria Math" w:hAnsi="Cambria Math"/>
                  <w:bCs/>
                </w:rPr>
              </m:ctrlPr>
            </m:sSubPr>
            <m:e>
              <m:r>
                <w:rPr>
                  <w:rFonts w:ascii="Cambria Math" w:hAnsi="Cambria Math"/>
                </w:rPr>
                <m:t>MRE</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5</m:t>
              </m:r>
            </m:sub>
          </m:sSub>
          <m:sSub>
            <m:sSubPr>
              <m:ctrlPr>
                <w:rPr>
                  <w:rFonts w:ascii="Cambria Math" w:hAnsi="Cambria Math"/>
                  <w:bCs/>
                </w:rPr>
              </m:ctrlPr>
            </m:sSubPr>
            <m:e>
              <m:r>
                <w:rPr>
                  <w:rFonts w:ascii="Cambria Math" w:hAnsi="Cambria Math"/>
                </w:rPr>
                <m:t>SUB</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6</m:t>
              </m:r>
            </m:sub>
          </m:sSub>
          <m:sSub>
            <m:sSubPr>
              <m:ctrlPr>
                <w:rPr>
                  <w:rFonts w:ascii="Cambria Math" w:hAnsi="Cambria Math"/>
                  <w:bCs/>
                </w:rPr>
              </m:ctrlPr>
            </m:sSubPr>
            <m:e>
              <m:r>
                <w:rPr>
                  <w:rFonts w:ascii="Cambria Math" w:hAnsi="Cambria Math"/>
                </w:rPr>
                <m:t>XUSRD</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sSub>
                <m:sSubPr>
                  <m:ctrlPr>
                    <w:rPr>
                      <w:rFonts w:ascii="Cambria Math" w:hAnsi="Cambria Math"/>
                      <w:bCs/>
                    </w:rPr>
                  </m:ctrlPr>
                </m:sSubPr>
                <m:e>
                  <m:r>
                    <w:rPr>
                      <w:rFonts w:ascii="Cambria Math" w:hAnsi="Cambria Math"/>
                    </w:rPr>
                    <m:t>β</m:t>
                  </m:r>
                </m:e>
                <m:sub>
                  <m:r>
                    <m:rPr>
                      <m:sty m:val="p"/>
                    </m:rPr>
                    <w:rPr>
                      <w:rFonts w:ascii="Cambria Math" w:hAnsi="Cambria Math"/>
                    </w:rPr>
                    <m:t>7</m:t>
                  </m:r>
                </m:sub>
              </m:sSub>
              <m:sSub>
                <m:sSubPr>
                  <m:ctrlPr>
                    <w:rPr>
                      <w:rFonts w:ascii="Cambria Math" w:hAnsi="Cambria Math"/>
                      <w:bCs/>
                    </w:rPr>
                  </m:ctrlPr>
                </m:sSubPr>
                <m:e>
                  <m:r>
                    <w:rPr>
                      <w:rFonts w:ascii="Cambria Math" w:hAnsi="Cambria Math"/>
                    </w:rPr>
                    <m:t>LVR</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8</m:t>
                  </m:r>
                </m:sub>
              </m:sSub>
              <m:sSub>
                <m:sSubPr>
                  <m:ctrlPr>
                    <w:rPr>
                      <w:rFonts w:ascii="Cambria Math" w:hAnsi="Cambria Math"/>
                      <w:bCs/>
                    </w:rPr>
                  </m:ctrlPr>
                </m:sSubPr>
                <m:e>
                  <m:r>
                    <w:rPr>
                      <w:rFonts w:ascii="Cambria Math" w:hAnsi="Cambria Math"/>
                    </w:rPr>
                    <m:t>SZE</m:t>
                  </m:r>
                </m:e>
                <m:sub>
                  <m:r>
                    <w:rPr>
                      <w:rFonts w:ascii="Cambria Math" w:hAnsi="Cambria Math"/>
                    </w:rPr>
                    <m:t>it</m:t>
                  </m:r>
                </m:sub>
              </m:sSub>
              <m:r>
                <m:rPr>
                  <m:sty m:val="p"/>
                </m:rPr>
                <w:rPr>
                  <w:rFonts w:ascii="Cambria Math" w:hAnsi="Cambria Math"/>
                </w:rPr>
                <m:t>+</m:t>
              </m:r>
              <m:r>
                <w:rPr>
                  <w:rFonts w:ascii="Cambria Math" w:hAnsi="Cambria Math"/>
                </w:rPr>
                <m:t>ε</m:t>
              </m:r>
            </m:e>
            <m:sub>
              <m:r>
                <w:rPr>
                  <w:rFonts w:ascii="Cambria Math" w:hAnsi="Cambria Math"/>
                </w:rPr>
                <m:t>it</m:t>
              </m:r>
            </m:sub>
          </m:sSub>
        </m:oMath>
      </m:oMathPara>
    </w:p>
    <w:p w14:paraId="02301DC2" w14:textId="77777777" w:rsidR="0030451E" w:rsidRPr="001F499A" w:rsidRDefault="00786B30" w:rsidP="0030451E">
      <w:pPr>
        <w:rPr>
          <w:rFonts w:eastAsiaTheme="minorEastAsia"/>
          <w:bCs/>
        </w:rPr>
      </w:pPr>
      <m:oMathPara>
        <m:oMathParaPr>
          <m:jc m:val="left"/>
        </m:oMathParaPr>
        <m:oMath>
          <m:d>
            <m:dPr>
              <m:ctrlPr>
                <w:rPr>
                  <w:rFonts w:ascii="Cambria Math" w:hAnsi="Cambria Math"/>
                  <w:bCs/>
                </w:rPr>
              </m:ctrlPr>
            </m:dPr>
            <m:e>
              <m:r>
                <m:rPr>
                  <m:sty m:val="p"/>
                </m:rPr>
                <w:rPr>
                  <w:rFonts w:ascii="Cambria Math" w:hAnsi="Cambria Math"/>
                </w:rPr>
                <m:t>3</m:t>
              </m:r>
            </m:e>
          </m:d>
          <m:r>
            <m:rPr>
              <m:sty m:val="p"/>
            </m:rPr>
            <w:rPr>
              <w:rFonts w:ascii="Cambria Math" w:hAnsi="Cambria Math"/>
            </w:rPr>
            <m:t xml:space="preserve"> </m:t>
          </m:r>
          <m:sSub>
            <m:sSubPr>
              <m:ctrlPr>
                <w:rPr>
                  <w:rFonts w:ascii="Cambria Math" w:hAnsi="Cambria Math"/>
                  <w:bCs/>
                </w:rPr>
              </m:ctrlPr>
            </m:sSubPr>
            <m:e>
              <m:r>
                <w:rPr>
                  <w:rFonts w:ascii="Cambria Math" w:hAnsi="Cambria Math"/>
                </w:rPr>
                <m:t>ROA</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1</m:t>
              </m:r>
            </m:sub>
          </m:sSub>
          <m:sSub>
            <m:sSubPr>
              <m:ctrlPr>
                <w:rPr>
                  <w:rFonts w:ascii="Cambria Math" w:hAnsi="Cambria Math"/>
                  <w:bCs/>
                </w:rPr>
              </m:ctrlPr>
            </m:sSubPr>
            <m:e>
              <m:r>
                <w:rPr>
                  <w:rFonts w:ascii="Cambria Math" w:hAnsi="Cambria Math"/>
                </w:rPr>
                <m:t>ESG</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2</m:t>
              </m:r>
            </m:sub>
          </m:sSub>
          <m:sSub>
            <m:sSubPr>
              <m:ctrlPr>
                <w:rPr>
                  <w:rFonts w:ascii="Cambria Math" w:hAnsi="Cambria Math"/>
                  <w:bCs/>
                </w:rPr>
              </m:ctrlPr>
            </m:sSubPr>
            <m:e>
              <m:r>
                <w:rPr>
                  <w:rFonts w:ascii="Cambria Math" w:hAnsi="Cambria Math"/>
                </w:rPr>
                <m:t>LVR</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3</m:t>
              </m:r>
            </m:sub>
          </m:sSub>
          <m:sSub>
            <m:sSubPr>
              <m:ctrlPr>
                <w:rPr>
                  <w:rFonts w:ascii="Cambria Math" w:hAnsi="Cambria Math"/>
                  <w:bCs/>
                </w:rPr>
              </m:ctrlPr>
            </m:sSubPr>
            <m:e>
              <m:r>
                <w:rPr>
                  <w:rFonts w:ascii="Cambria Math" w:hAnsi="Cambria Math"/>
                </w:rPr>
                <m:t>SZE</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ε</m:t>
              </m:r>
            </m:e>
            <m:sub>
              <m:r>
                <w:rPr>
                  <w:rFonts w:ascii="Cambria Math" w:hAnsi="Cambria Math"/>
                </w:rPr>
                <m:t>it</m:t>
              </m:r>
            </m:sub>
          </m:sSub>
        </m:oMath>
      </m:oMathPara>
    </w:p>
    <w:p w14:paraId="0AF23CAC" w14:textId="77777777" w:rsidR="0030451E" w:rsidRPr="00AA42F2" w:rsidRDefault="00786B30" w:rsidP="0030451E">
      <w:pPr>
        <w:rPr>
          <w:bCs/>
        </w:rPr>
      </w:pPr>
      <m:oMathPara>
        <m:oMathParaPr>
          <m:jc m:val="left"/>
        </m:oMathParaPr>
        <m:oMath>
          <m:d>
            <m:dPr>
              <m:ctrlPr>
                <w:rPr>
                  <w:rFonts w:ascii="Cambria Math" w:hAnsi="Cambria Math"/>
                  <w:bCs/>
                </w:rPr>
              </m:ctrlPr>
            </m:dPr>
            <m:e>
              <m:r>
                <m:rPr>
                  <m:sty m:val="p"/>
                </m:rPr>
                <w:rPr>
                  <w:rFonts w:ascii="Cambria Math" w:hAnsi="Cambria Math"/>
                </w:rPr>
                <m:t>4</m:t>
              </m:r>
            </m:e>
          </m:d>
          <m:r>
            <m:rPr>
              <m:sty m:val="p"/>
            </m:rPr>
            <w:rPr>
              <w:rFonts w:ascii="Cambria Math" w:hAnsi="Cambria Math"/>
            </w:rPr>
            <m:t xml:space="preserve"> </m:t>
          </m:r>
          <m:sSub>
            <m:sSubPr>
              <m:ctrlPr>
                <w:rPr>
                  <w:rFonts w:ascii="Cambria Math" w:hAnsi="Cambria Math"/>
                  <w:bCs/>
                </w:rPr>
              </m:ctrlPr>
            </m:sSubPr>
            <m:e>
              <m:r>
                <w:rPr>
                  <w:rFonts w:ascii="Cambria Math" w:hAnsi="Cambria Math"/>
                </w:rPr>
                <m:t>ROA</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1</m:t>
              </m:r>
            </m:sub>
          </m:sSub>
          <m:sSub>
            <m:sSubPr>
              <m:ctrlPr>
                <w:rPr>
                  <w:rFonts w:ascii="Cambria Math" w:hAnsi="Cambria Math"/>
                  <w:bCs/>
                </w:rPr>
              </m:ctrlPr>
            </m:sSubPr>
            <m:e>
              <m:r>
                <w:rPr>
                  <w:rFonts w:ascii="Cambria Math" w:hAnsi="Cambria Math"/>
                </w:rPr>
                <m:t>E</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2</m:t>
              </m:r>
            </m:sub>
          </m:sSub>
          <m:sSub>
            <m:sSubPr>
              <m:ctrlPr>
                <w:rPr>
                  <w:rFonts w:ascii="Cambria Math" w:hAnsi="Cambria Math"/>
                  <w:bCs/>
                </w:rPr>
              </m:ctrlPr>
            </m:sSubPr>
            <m:e>
              <m:r>
                <w:rPr>
                  <w:rFonts w:ascii="Cambria Math" w:hAnsi="Cambria Math"/>
                </w:rPr>
                <m:t>S</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3</m:t>
              </m:r>
            </m:sub>
          </m:sSub>
          <m:sSub>
            <m:sSubPr>
              <m:ctrlPr>
                <w:rPr>
                  <w:rFonts w:ascii="Cambria Math" w:hAnsi="Cambria Math"/>
                  <w:bCs/>
                </w:rPr>
              </m:ctrlPr>
            </m:sSubPr>
            <m:e>
              <m:r>
                <w:rPr>
                  <w:rFonts w:ascii="Cambria Math" w:hAnsi="Cambria Math"/>
                </w:rPr>
                <m:t>G</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sSub>
                <m:sSubPr>
                  <m:ctrlPr>
                    <w:rPr>
                      <w:rFonts w:ascii="Cambria Math" w:hAnsi="Cambria Math"/>
                      <w:bCs/>
                    </w:rPr>
                  </m:ctrlPr>
                </m:sSubPr>
                <m:e>
                  <m:r>
                    <w:rPr>
                      <w:rFonts w:ascii="Cambria Math" w:hAnsi="Cambria Math"/>
                    </w:rPr>
                    <m:t>β</m:t>
                  </m:r>
                </m:e>
                <m:sub>
                  <m:r>
                    <m:rPr>
                      <m:sty m:val="p"/>
                    </m:rPr>
                    <w:rPr>
                      <w:rFonts w:ascii="Cambria Math" w:hAnsi="Cambria Math"/>
                    </w:rPr>
                    <m:t>4</m:t>
                  </m:r>
                </m:sub>
              </m:sSub>
              <m:sSub>
                <m:sSubPr>
                  <m:ctrlPr>
                    <w:rPr>
                      <w:rFonts w:ascii="Cambria Math" w:hAnsi="Cambria Math"/>
                      <w:bCs/>
                    </w:rPr>
                  </m:ctrlPr>
                </m:sSubPr>
                <m:e>
                  <m:r>
                    <w:rPr>
                      <w:rFonts w:ascii="Cambria Math" w:hAnsi="Cambria Math"/>
                    </w:rPr>
                    <m:t>LVR</m:t>
                  </m:r>
                </m:e>
                <m:sub>
                  <m:r>
                    <w:rPr>
                      <w:rFonts w:ascii="Cambria Math" w:hAnsi="Cambria Math"/>
                    </w:rPr>
                    <m:t>it</m:t>
                  </m:r>
                </m:sub>
              </m:sSub>
              <m:r>
                <m:rPr>
                  <m:sty m:val="p"/>
                </m:rPr>
                <w:rPr>
                  <w:rFonts w:ascii="Cambria Math" w:hAnsi="Cambria Math"/>
                </w:rPr>
                <m:t>+</m:t>
              </m:r>
              <m:sSub>
                <m:sSubPr>
                  <m:ctrlPr>
                    <w:rPr>
                      <w:rFonts w:ascii="Cambria Math" w:hAnsi="Cambria Math"/>
                      <w:bCs/>
                    </w:rPr>
                  </m:ctrlPr>
                </m:sSubPr>
                <m:e>
                  <m:r>
                    <w:rPr>
                      <w:rFonts w:ascii="Cambria Math" w:hAnsi="Cambria Math"/>
                    </w:rPr>
                    <m:t>β</m:t>
                  </m:r>
                </m:e>
                <m:sub>
                  <m:r>
                    <m:rPr>
                      <m:sty m:val="p"/>
                    </m:rPr>
                    <w:rPr>
                      <w:rFonts w:ascii="Cambria Math" w:hAnsi="Cambria Math"/>
                    </w:rPr>
                    <m:t>5</m:t>
                  </m:r>
                </m:sub>
              </m:sSub>
              <m:sSub>
                <m:sSubPr>
                  <m:ctrlPr>
                    <w:rPr>
                      <w:rFonts w:ascii="Cambria Math" w:hAnsi="Cambria Math"/>
                      <w:bCs/>
                    </w:rPr>
                  </m:ctrlPr>
                </m:sSubPr>
                <m:e>
                  <m:r>
                    <w:rPr>
                      <w:rFonts w:ascii="Cambria Math" w:hAnsi="Cambria Math"/>
                    </w:rPr>
                    <m:t>SZE</m:t>
                  </m:r>
                </m:e>
                <m:sub>
                  <m:r>
                    <w:rPr>
                      <w:rFonts w:ascii="Cambria Math" w:hAnsi="Cambria Math"/>
                    </w:rPr>
                    <m:t>it</m:t>
                  </m:r>
                </m:sub>
              </m:sSub>
              <m:r>
                <m:rPr>
                  <m:sty m:val="p"/>
                </m:rPr>
                <w:rPr>
                  <w:rFonts w:ascii="Cambria Math" w:hAnsi="Cambria Math"/>
                </w:rPr>
                <m:t>+</m:t>
              </m:r>
              <m:r>
                <w:rPr>
                  <w:rFonts w:ascii="Cambria Math" w:hAnsi="Cambria Math"/>
                </w:rPr>
                <m:t>ε</m:t>
              </m:r>
            </m:e>
            <m:sub>
              <m:r>
                <w:rPr>
                  <w:rFonts w:ascii="Cambria Math" w:hAnsi="Cambria Math"/>
                </w:rPr>
                <m:t>it</m:t>
              </m:r>
            </m:sub>
          </m:sSub>
        </m:oMath>
      </m:oMathPara>
    </w:p>
    <w:p w14:paraId="2F32FCCF" w14:textId="219A4AD5" w:rsidR="003F6AAA" w:rsidRDefault="003F6AAA" w:rsidP="005B3402">
      <w:r w:rsidRPr="003F6AAA">
        <w:t xml:space="preserve">In these models, </w:t>
      </w:r>
      <w:proofErr w:type="spellStart"/>
      <w:r w:rsidRPr="003F6AAA">
        <w:t>ROA</w:t>
      </w:r>
      <w:r w:rsidRPr="003F6AAA">
        <w:rPr>
          <w:vertAlign w:val="subscript"/>
        </w:rPr>
        <w:t>it</w:t>
      </w:r>
      <w:proofErr w:type="spellEnd"/>
      <w:r w:rsidRPr="003F6AAA">
        <w:t xml:space="preserve"> represents dependent variable. </w:t>
      </w:r>
      <w:proofErr w:type="spellStart"/>
      <w:r w:rsidRPr="003F6AAA">
        <w:t>ESG</w:t>
      </w:r>
      <w:r w:rsidRPr="003F6AAA">
        <w:rPr>
          <w:vertAlign w:val="subscript"/>
        </w:rPr>
        <w:t>it</w:t>
      </w:r>
      <w:proofErr w:type="spellEnd"/>
      <w:r w:rsidRPr="003F6AAA">
        <w:t xml:space="preserve"> , </w:t>
      </w:r>
      <w:proofErr w:type="spellStart"/>
      <w:r w:rsidRPr="003F6AAA">
        <w:t>E</w:t>
      </w:r>
      <w:r w:rsidRPr="003F6AAA">
        <w:rPr>
          <w:vertAlign w:val="subscript"/>
        </w:rPr>
        <w:t>it</w:t>
      </w:r>
      <w:proofErr w:type="spellEnd"/>
      <w:r w:rsidRPr="003F6AAA">
        <w:t xml:space="preserve"> , S</w:t>
      </w:r>
      <w:r w:rsidRPr="003F6AAA">
        <w:rPr>
          <w:vertAlign w:val="subscript"/>
        </w:rPr>
        <w:t>it</w:t>
      </w:r>
      <w:r w:rsidRPr="003F6AAA">
        <w:t xml:space="preserve"> , G</w:t>
      </w:r>
      <w:r w:rsidRPr="003F6AAA">
        <w:rPr>
          <w:vertAlign w:val="subscript"/>
        </w:rPr>
        <w:t>it</w:t>
      </w:r>
      <w:r w:rsidRPr="003F6AAA">
        <w:t xml:space="preserve"> , </w:t>
      </w:r>
      <w:proofErr w:type="spellStart"/>
      <w:r w:rsidRPr="003F6AAA">
        <w:t>MRE</w:t>
      </w:r>
      <w:r w:rsidRPr="003F6AAA">
        <w:rPr>
          <w:vertAlign w:val="subscript"/>
        </w:rPr>
        <w:t>it</w:t>
      </w:r>
      <w:proofErr w:type="spellEnd"/>
      <w:r w:rsidRPr="003F6AAA">
        <w:t xml:space="preserve"> , </w:t>
      </w:r>
      <w:proofErr w:type="spellStart"/>
      <w:r w:rsidRPr="003F6AAA">
        <w:t>SUB</w:t>
      </w:r>
      <w:r w:rsidRPr="003F6AAA">
        <w:rPr>
          <w:vertAlign w:val="subscript"/>
        </w:rPr>
        <w:t>it</w:t>
      </w:r>
      <w:proofErr w:type="spellEnd"/>
      <w:r w:rsidRPr="003F6AAA">
        <w:t xml:space="preserve">  and </w:t>
      </w:r>
      <w:proofErr w:type="spellStart"/>
      <w:r w:rsidRPr="003F6AAA">
        <w:t>XUSRD</w:t>
      </w:r>
      <w:r w:rsidRPr="003F6AAA">
        <w:rPr>
          <w:vertAlign w:val="subscript"/>
        </w:rPr>
        <w:t>it</w:t>
      </w:r>
      <w:proofErr w:type="spellEnd"/>
      <w:r w:rsidRPr="003F6AAA">
        <w:t xml:space="preserve"> are included as independent variables. </w:t>
      </w:r>
      <w:proofErr w:type="spellStart"/>
      <w:r w:rsidRPr="003F6AAA">
        <w:t>LVR</w:t>
      </w:r>
      <w:r w:rsidRPr="003F6AAA">
        <w:rPr>
          <w:vertAlign w:val="subscript"/>
        </w:rPr>
        <w:t>it</w:t>
      </w:r>
      <w:proofErr w:type="spellEnd"/>
      <w:r w:rsidRPr="003F6AAA">
        <w:t xml:space="preserve"> </w:t>
      </w:r>
      <w:proofErr w:type="spellStart"/>
      <w:r w:rsidRPr="003F6AAA">
        <w:t>ve</w:t>
      </w:r>
      <w:proofErr w:type="spellEnd"/>
      <w:r w:rsidRPr="003F6AAA">
        <w:t xml:space="preserve"> </w:t>
      </w:r>
      <w:proofErr w:type="spellStart"/>
      <w:r w:rsidRPr="003F6AAA">
        <w:t>MRE</w:t>
      </w:r>
      <w:r w:rsidRPr="003F6AAA">
        <w:rPr>
          <w:vertAlign w:val="subscript"/>
        </w:rPr>
        <w:t>it</w:t>
      </w:r>
      <w:proofErr w:type="spellEnd"/>
      <w:r w:rsidRPr="003F6AAA">
        <w:t xml:space="preserve">  are included as control variables. The </w:t>
      </w:r>
      <w:proofErr w:type="spellStart"/>
      <w:r w:rsidRPr="003F6AAA">
        <w:t>i</w:t>
      </w:r>
      <w:proofErr w:type="spellEnd"/>
      <w:r w:rsidRPr="003F6AAA">
        <w:t xml:space="preserve"> and t indices represent the value of company </w:t>
      </w:r>
      <w:proofErr w:type="spellStart"/>
      <w:r w:rsidRPr="003F6AAA">
        <w:t>i</w:t>
      </w:r>
      <w:proofErr w:type="spellEnd"/>
      <w:r w:rsidRPr="003F6AAA">
        <w:t xml:space="preserve"> in year t. </w:t>
      </w:r>
      <m:oMath>
        <m:sSub>
          <m:sSubPr>
            <m:ctrlPr>
              <w:rPr>
                <w:rFonts w:ascii="Cambria Math" w:hAnsi="Cambria Math"/>
                <w:i/>
              </w:rPr>
            </m:ctrlPr>
          </m:sSubPr>
          <m:e>
            <m:r>
              <w:rPr>
                <w:rFonts w:ascii="Cambria Math" w:hAnsi="Cambria Math"/>
              </w:rPr>
              <m:t>ε</m:t>
            </m:r>
          </m:e>
          <m:sub>
            <m:r>
              <w:rPr>
                <w:rFonts w:ascii="Cambria Math" w:hAnsi="Cambria Math"/>
              </w:rPr>
              <m:t>it</m:t>
            </m:r>
          </m:sub>
        </m:sSub>
      </m:oMath>
      <w:r w:rsidRPr="003F6AAA">
        <w:t xml:space="preserve"> represents the error. </w:t>
      </w:r>
    </w:p>
    <w:p w14:paraId="2B9D4139" w14:textId="63F00A9B" w:rsidR="000F25B0" w:rsidRDefault="000F25B0" w:rsidP="000F25B0">
      <w:pPr>
        <w:pStyle w:val="Heading2"/>
      </w:pPr>
      <w:r>
        <w:t>Model Fit</w:t>
      </w:r>
    </w:p>
    <w:p w14:paraId="3E5E5B55" w14:textId="2F5FB196" w:rsidR="000F25B0" w:rsidRPr="000F25B0" w:rsidRDefault="000F25B0" w:rsidP="000F25B0">
      <w:r>
        <w:t>In order to ensure</w:t>
      </w:r>
      <w:r w:rsidRPr="0026505C">
        <w:t xml:space="preserve"> the quality of the fit of the model and identify potential problems that might affect the validity of the results</w:t>
      </w:r>
      <w:r>
        <w:t xml:space="preserve">, right models need to be chosen. </w:t>
      </w:r>
      <w:r w:rsidR="00EE678D" w:rsidRPr="00EE678D">
        <w:t>Firstly, the F Test was applied to decide whether a pooled OLS model or a fixed effects model was more suitable for the dataset. Secondly, the Hausman Test was applied to determine whether a fixed effects or random effects model was more appropriate for the dataset.</w:t>
      </w:r>
      <w:r w:rsidR="00EE678D">
        <w:t xml:space="preserve"> </w:t>
      </w:r>
      <w:r w:rsidR="00EE678D" w:rsidRPr="00EE678D">
        <w:t>Thirdly, the Breusch-Godfrey/Wooldridge test was applied to detect the presence of serial correlation in the dataset.</w:t>
      </w:r>
      <w:r w:rsidR="00EE678D">
        <w:t xml:space="preserve"> Fourthly</w:t>
      </w:r>
      <w:r w:rsidR="00EE678D" w:rsidRPr="00EE678D">
        <w:t>, the Breusch-Pagan test was applied to detect the presence of heteroscedasticity in the dataset.</w:t>
      </w:r>
      <w:r w:rsidR="00EE678D">
        <w:t xml:space="preserve"> </w:t>
      </w:r>
      <w:r w:rsidR="00EE678D" w:rsidRPr="00EE678D">
        <w:t>Lastly, the Variance Inflation Factor (VIF) was calculated for the random effects model, to check for the presence of multicollinearity among the independent variables.</w:t>
      </w:r>
    </w:p>
    <w:p w14:paraId="0AE3F86A" w14:textId="6FBFBAE0" w:rsidR="000F25B0" w:rsidRDefault="000F25B0" w:rsidP="000F25B0">
      <w:pPr>
        <w:pStyle w:val="Heading2"/>
      </w:pPr>
      <w:r>
        <w:t>Model Implementation</w:t>
      </w:r>
    </w:p>
    <w:p w14:paraId="1D23E622" w14:textId="145E6433" w:rsidR="000F25B0" w:rsidRPr="000F25B0" w:rsidRDefault="000D5720" w:rsidP="000F25B0">
      <w:r>
        <w:t>Model implementation</w:t>
      </w:r>
      <w:r w:rsidR="00B376D9" w:rsidRPr="00B376D9">
        <w:t xml:space="preserve"> has begun with data cleaning</w:t>
      </w:r>
      <w:r>
        <w:t xml:space="preserve">. </w:t>
      </w:r>
      <w:r w:rsidR="00B376D9" w:rsidRPr="00B376D9">
        <w:t>This step has involved removing missing values, and ensuring that the data is in the correct format. This has been done to avoid any errors or biases that may occur in the analysis.</w:t>
      </w:r>
      <w:r>
        <w:t xml:space="preserve"> </w:t>
      </w:r>
      <w:r w:rsidRPr="000D5720">
        <w:t xml:space="preserve">Once the data has been cleaned, the next step is to </w:t>
      </w:r>
      <w:r w:rsidRPr="000D5720">
        <w:lastRenderedPageBreak/>
        <w:t>select the relevant independent and dependent variables that will be used in the model.</w:t>
      </w:r>
      <w:r>
        <w:t xml:space="preserve"> </w:t>
      </w:r>
      <w:r w:rsidR="000F25B0" w:rsidRPr="003F6AAA">
        <w:t>Models (1) and (2) were used in a dataset that includes all companies. Models (3) and (4) were used in a dataset that consists only of companies in the XELKT index with sustainability scores that were different from 0 at any time between 2019 and 2022.</w:t>
      </w:r>
      <w:r w:rsidR="000F25B0">
        <w:t xml:space="preserve"> </w:t>
      </w:r>
      <w:r w:rsidRPr="000D5720">
        <w:t xml:space="preserve">After the model is </w:t>
      </w:r>
      <w:r>
        <w:t>built</w:t>
      </w:r>
      <w:r w:rsidRPr="000D5720">
        <w:t xml:space="preserve">, it is estimated using the selected data and variables. Finally, the model is evaluated by assessing its fit and performance using statistical </w:t>
      </w:r>
      <w:r>
        <w:t>tests mentioned above.</w:t>
      </w:r>
      <w:r w:rsidRPr="000D5720">
        <w:t xml:space="preserve"> </w:t>
      </w:r>
    </w:p>
    <w:p w14:paraId="2E7860AF" w14:textId="644337ED" w:rsidR="007F1E7B" w:rsidRPr="007F1E7B" w:rsidRDefault="00974DE2" w:rsidP="007F1E7B">
      <w:pPr>
        <w:pStyle w:val="Heading1"/>
      </w:pPr>
      <w:r w:rsidRPr="00974DE2">
        <w:t>Results and Discussions</w:t>
      </w:r>
    </w:p>
    <w:p w14:paraId="16DE13B0" w14:textId="77777777" w:rsidR="007F1E7B" w:rsidRPr="001B47BF" w:rsidRDefault="007F1E7B" w:rsidP="007F1E7B">
      <w:pPr>
        <w:pStyle w:val="Heading2"/>
        <w:spacing w:before="240" w:beforeAutospacing="0"/>
      </w:pPr>
      <w:r w:rsidRPr="001B47BF">
        <w:t>Descriptive Statistics</w:t>
      </w:r>
    </w:p>
    <w:p w14:paraId="1D7EAB6B" w14:textId="08B48B94" w:rsidR="006C3BCC" w:rsidRDefault="007F1E7B" w:rsidP="007F1E7B">
      <w:r>
        <w:t xml:space="preserve">Descriptive statistics of the dataset is given in below table. </w:t>
      </w:r>
    </w:p>
    <w:p w14:paraId="00A37CFC" w14:textId="2BA8CF69" w:rsidR="00BF7C67" w:rsidRPr="00BF7C67" w:rsidRDefault="00BF7C67" w:rsidP="009B7ACF">
      <w:pPr>
        <w:pStyle w:val="Caption"/>
        <w:keepNext/>
        <w:jc w:val="center"/>
        <w:rPr>
          <w:b/>
          <w:bCs/>
          <w:i w:val="0"/>
          <w:iCs w:val="0"/>
          <w:color w:val="000000" w:themeColor="text1"/>
          <w:sz w:val="24"/>
          <w:szCs w:val="24"/>
        </w:rPr>
      </w:pPr>
      <w:r w:rsidRPr="00BF7C67">
        <w:rPr>
          <w:b/>
          <w:bCs/>
          <w:i w:val="0"/>
          <w:iCs w:val="0"/>
          <w:color w:val="000000" w:themeColor="text1"/>
          <w:sz w:val="24"/>
          <w:szCs w:val="24"/>
        </w:rPr>
        <w:t xml:space="preserve">Table </w:t>
      </w:r>
      <w:r w:rsidRPr="00BF7C67">
        <w:rPr>
          <w:b/>
          <w:bCs/>
          <w:i w:val="0"/>
          <w:iCs w:val="0"/>
          <w:color w:val="000000" w:themeColor="text1"/>
          <w:sz w:val="24"/>
          <w:szCs w:val="24"/>
        </w:rPr>
        <w:fldChar w:fldCharType="begin"/>
      </w:r>
      <w:r w:rsidRPr="00BF7C67">
        <w:rPr>
          <w:b/>
          <w:bCs/>
          <w:i w:val="0"/>
          <w:iCs w:val="0"/>
          <w:color w:val="000000" w:themeColor="text1"/>
          <w:sz w:val="24"/>
          <w:szCs w:val="24"/>
        </w:rPr>
        <w:instrText xml:space="preserve"> SEQ Table \* ARABIC </w:instrText>
      </w:r>
      <w:r w:rsidRPr="00BF7C67">
        <w:rPr>
          <w:b/>
          <w:bCs/>
          <w:i w:val="0"/>
          <w:iCs w:val="0"/>
          <w:color w:val="000000" w:themeColor="text1"/>
          <w:sz w:val="24"/>
          <w:szCs w:val="24"/>
        </w:rPr>
        <w:fldChar w:fldCharType="separate"/>
      </w:r>
      <w:r w:rsidR="00AD3F3F">
        <w:rPr>
          <w:b/>
          <w:bCs/>
          <w:i w:val="0"/>
          <w:iCs w:val="0"/>
          <w:noProof/>
          <w:color w:val="000000" w:themeColor="text1"/>
          <w:sz w:val="24"/>
          <w:szCs w:val="24"/>
        </w:rPr>
        <w:t>6</w:t>
      </w:r>
      <w:r w:rsidRPr="00BF7C67">
        <w:rPr>
          <w:b/>
          <w:bCs/>
          <w:i w:val="0"/>
          <w:iCs w:val="0"/>
          <w:color w:val="000000" w:themeColor="text1"/>
          <w:sz w:val="24"/>
          <w:szCs w:val="24"/>
        </w:rPr>
        <w:fldChar w:fldCharType="end"/>
      </w:r>
      <w:r w:rsidRPr="00BF7C67">
        <w:rPr>
          <w:b/>
          <w:bCs/>
          <w:i w:val="0"/>
          <w:iCs w:val="0"/>
          <w:color w:val="000000" w:themeColor="text1"/>
          <w:sz w:val="24"/>
          <w:szCs w:val="24"/>
        </w:rPr>
        <w:t>. Descriptive Statistics</w:t>
      </w:r>
    </w:p>
    <w:tbl>
      <w:tblPr>
        <w:tblStyle w:val="TableGrid"/>
        <w:tblW w:w="0" w:type="auto"/>
        <w:jc w:val="center"/>
        <w:tblLook w:val="04A0" w:firstRow="1" w:lastRow="0" w:firstColumn="1" w:lastColumn="0" w:noHBand="0" w:noVBand="1"/>
      </w:tblPr>
      <w:tblGrid>
        <w:gridCol w:w="2082"/>
        <w:gridCol w:w="1022"/>
        <w:gridCol w:w="1022"/>
        <w:gridCol w:w="1022"/>
        <w:gridCol w:w="1022"/>
        <w:gridCol w:w="1022"/>
      </w:tblGrid>
      <w:tr w:rsidR="00BF7C67" w:rsidRPr="00BF7C67" w14:paraId="2DBE00A7" w14:textId="77777777" w:rsidTr="000B7339">
        <w:trPr>
          <w:trHeight w:val="559"/>
          <w:tblHeader/>
          <w:jc w:val="center"/>
        </w:trPr>
        <w:tc>
          <w:tcPr>
            <w:tcW w:w="2082" w:type="dxa"/>
            <w:hideMark/>
          </w:tcPr>
          <w:p w14:paraId="24DE30F7" w14:textId="77777777" w:rsidR="00BF7C67" w:rsidRPr="00014848" w:rsidRDefault="00BF7C67" w:rsidP="00014848">
            <w:pPr>
              <w:spacing w:before="0" w:beforeAutospacing="0" w:after="0" w:afterAutospacing="0" w:line="240" w:lineRule="auto"/>
              <w:jc w:val="left"/>
              <w:rPr>
                <w:rFonts w:eastAsia="Times New Roman"/>
                <w:b/>
                <w:bCs/>
                <w:color w:val="auto"/>
                <w:lang w:val="tr-TR"/>
              </w:rPr>
            </w:pPr>
            <w:proofErr w:type="spellStart"/>
            <w:r w:rsidRPr="00014848">
              <w:rPr>
                <w:rFonts w:eastAsia="Times New Roman"/>
                <w:b/>
                <w:bCs/>
                <w:color w:val="auto"/>
                <w:lang w:val="tr-TR"/>
              </w:rPr>
              <w:t>Variable</w:t>
            </w:r>
            <w:proofErr w:type="spellEnd"/>
          </w:p>
        </w:tc>
        <w:tc>
          <w:tcPr>
            <w:tcW w:w="1022" w:type="dxa"/>
            <w:hideMark/>
          </w:tcPr>
          <w:p w14:paraId="7B093B95" w14:textId="77777777" w:rsidR="00BF7C67" w:rsidRPr="00014848" w:rsidRDefault="00BF7C67" w:rsidP="00014848">
            <w:pPr>
              <w:spacing w:before="0" w:beforeAutospacing="0" w:after="0" w:afterAutospacing="0" w:line="240" w:lineRule="auto"/>
              <w:jc w:val="right"/>
              <w:rPr>
                <w:rFonts w:eastAsia="Times New Roman"/>
                <w:b/>
                <w:bCs/>
                <w:color w:val="auto"/>
                <w:lang w:val="tr-TR"/>
              </w:rPr>
            </w:pPr>
            <w:r w:rsidRPr="00014848">
              <w:rPr>
                <w:rFonts w:eastAsia="Times New Roman"/>
                <w:b/>
                <w:bCs/>
                <w:color w:val="auto"/>
                <w:lang w:val="tr-TR"/>
              </w:rPr>
              <w:t>N</w:t>
            </w:r>
          </w:p>
        </w:tc>
        <w:tc>
          <w:tcPr>
            <w:tcW w:w="1022" w:type="dxa"/>
            <w:hideMark/>
          </w:tcPr>
          <w:p w14:paraId="2C3FCAC0" w14:textId="77777777" w:rsidR="00BF7C67" w:rsidRPr="00014848" w:rsidRDefault="00BF7C67" w:rsidP="00014848">
            <w:pPr>
              <w:spacing w:before="0" w:beforeAutospacing="0" w:after="0" w:afterAutospacing="0" w:line="240" w:lineRule="auto"/>
              <w:jc w:val="right"/>
              <w:rPr>
                <w:rFonts w:eastAsia="Times New Roman"/>
                <w:b/>
                <w:bCs/>
                <w:color w:val="auto"/>
                <w:lang w:val="tr-TR"/>
              </w:rPr>
            </w:pPr>
            <w:proofErr w:type="spellStart"/>
            <w:r w:rsidRPr="00014848">
              <w:rPr>
                <w:rFonts w:eastAsia="Times New Roman"/>
                <w:b/>
                <w:bCs/>
                <w:color w:val="auto"/>
                <w:lang w:val="tr-TR"/>
              </w:rPr>
              <w:t>Mean</w:t>
            </w:r>
            <w:proofErr w:type="spellEnd"/>
          </w:p>
        </w:tc>
        <w:tc>
          <w:tcPr>
            <w:tcW w:w="1022" w:type="dxa"/>
            <w:hideMark/>
          </w:tcPr>
          <w:p w14:paraId="2651F8E6" w14:textId="77777777" w:rsidR="00BF7C67" w:rsidRPr="00014848" w:rsidRDefault="00BF7C67" w:rsidP="00014848">
            <w:pPr>
              <w:spacing w:before="0" w:beforeAutospacing="0" w:after="0" w:afterAutospacing="0" w:line="240" w:lineRule="auto"/>
              <w:jc w:val="right"/>
              <w:rPr>
                <w:rFonts w:eastAsia="Times New Roman"/>
                <w:b/>
                <w:bCs/>
                <w:color w:val="auto"/>
                <w:lang w:val="tr-TR"/>
              </w:rPr>
            </w:pPr>
            <w:proofErr w:type="spellStart"/>
            <w:r w:rsidRPr="00014848">
              <w:rPr>
                <w:rFonts w:eastAsia="Times New Roman"/>
                <w:b/>
                <w:bCs/>
                <w:color w:val="auto"/>
                <w:lang w:val="tr-TR"/>
              </w:rPr>
              <w:t>Std</w:t>
            </w:r>
            <w:proofErr w:type="spellEnd"/>
            <w:r w:rsidRPr="00014848">
              <w:rPr>
                <w:rFonts w:eastAsia="Times New Roman"/>
                <w:b/>
                <w:bCs/>
                <w:color w:val="auto"/>
                <w:lang w:val="tr-TR"/>
              </w:rPr>
              <w:t>. Dev.</w:t>
            </w:r>
          </w:p>
        </w:tc>
        <w:tc>
          <w:tcPr>
            <w:tcW w:w="1022" w:type="dxa"/>
            <w:hideMark/>
          </w:tcPr>
          <w:p w14:paraId="31C65E88" w14:textId="77777777" w:rsidR="00BF7C67" w:rsidRPr="00014848" w:rsidRDefault="00BF7C67" w:rsidP="00014848">
            <w:pPr>
              <w:spacing w:before="0" w:beforeAutospacing="0" w:after="0" w:afterAutospacing="0" w:line="240" w:lineRule="auto"/>
              <w:jc w:val="right"/>
              <w:rPr>
                <w:rFonts w:eastAsia="Times New Roman"/>
                <w:b/>
                <w:bCs/>
                <w:color w:val="auto"/>
                <w:lang w:val="tr-TR"/>
              </w:rPr>
            </w:pPr>
            <w:proofErr w:type="spellStart"/>
            <w:r w:rsidRPr="00014848">
              <w:rPr>
                <w:rFonts w:eastAsia="Times New Roman"/>
                <w:b/>
                <w:bCs/>
                <w:color w:val="auto"/>
                <w:lang w:val="tr-TR"/>
              </w:rPr>
              <w:t>Min</w:t>
            </w:r>
            <w:proofErr w:type="spellEnd"/>
          </w:p>
        </w:tc>
        <w:tc>
          <w:tcPr>
            <w:tcW w:w="1022" w:type="dxa"/>
            <w:hideMark/>
          </w:tcPr>
          <w:p w14:paraId="0D69C52D" w14:textId="77777777" w:rsidR="00BF7C67" w:rsidRPr="00014848" w:rsidRDefault="00BF7C67" w:rsidP="00014848">
            <w:pPr>
              <w:spacing w:before="0" w:beforeAutospacing="0" w:after="0" w:afterAutospacing="0" w:line="240" w:lineRule="auto"/>
              <w:jc w:val="right"/>
              <w:rPr>
                <w:rFonts w:eastAsia="Times New Roman"/>
                <w:b/>
                <w:bCs/>
                <w:color w:val="auto"/>
                <w:lang w:val="tr-TR"/>
              </w:rPr>
            </w:pPr>
            <w:proofErr w:type="spellStart"/>
            <w:r w:rsidRPr="00014848">
              <w:rPr>
                <w:rFonts w:eastAsia="Times New Roman"/>
                <w:b/>
                <w:bCs/>
                <w:color w:val="auto"/>
                <w:lang w:val="tr-TR"/>
              </w:rPr>
              <w:t>Max</w:t>
            </w:r>
            <w:proofErr w:type="spellEnd"/>
          </w:p>
        </w:tc>
      </w:tr>
      <w:tr w:rsidR="00BF7C67" w:rsidRPr="00BF7C67" w14:paraId="7DFDD410" w14:textId="77777777" w:rsidTr="000B7339">
        <w:trPr>
          <w:trHeight w:val="544"/>
          <w:tblHeader/>
          <w:jc w:val="center"/>
        </w:trPr>
        <w:tc>
          <w:tcPr>
            <w:tcW w:w="2082" w:type="dxa"/>
            <w:hideMark/>
          </w:tcPr>
          <w:p w14:paraId="6D2BCE12" w14:textId="77777777" w:rsidR="00BF7C67" w:rsidRPr="00014848" w:rsidRDefault="00BF7C67" w:rsidP="00014848">
            <w:pPr>
              <w:wordWrap w:val="0"/>
              <w:spacing w:before="0" w:beforeAutospacing="0" w:after="0" w:afterAutospacing="0" w:line="240" w:lineRule="auto"/>
              <w:jc w:val="left"/>
              <w:rPr>
                <w:rFonts w:eastAsia="Times New Roman"/>
                <w:color w:val="auto"/>
                <w:lang w:val="tr-TR"/>
              </w:rPr>
            </w:pPr>
            <w:r w:rsidRPr="00014848">
              <w:rPr>
                <w:rFonts w:eastAsia="Times New Roman"/>
                <w:color w:val="auto"/>
                <w:lang w:val="tr-TR"/>
              </w:rPr>
              <w:t>ESG</w:t>
            </w:r>
          </w:p>
        </w:tc>
        <w:tc>
          <w:tcPr>
            <w:tcW w:w="1022" w:type="dxa"/>
            <w:hideMark/>
          </w:tcPr>
          <w:p w14:paraId="448D8CB6"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80</w:t>
            </w:r>
          </w:p>
        </w:tc>
        <w:tc>
          <w:tcPr>
            <w:tcW w:w="1022" w:type="dxa"/>
            <w:hideMark/>
          </w:tcPr>
          <w:p w14:paraId="055C0BD8"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13.35</w:t>
            </w:r>
          </w:p>
        </w:tc>
        <w:tc>
          <w:tcPr>
            <w:tcW w:w="1022" w:type="dxa"/>
            <w:hideMark/>
          </w:tcPr>
          <w:p w14:paraId="373F1C42"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25.145</w:t>
            </w:r>
          </w:p>
        </w:tc>
        <w:tc>
          <w:tcPr>
            <w:tcW w:w="1022" w:type="dxa"/>
            <w:hideMark/>
          </w:tcPr>
          <w:p w14:paraId="0B2BF210"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w:t>
            </w:r>
          </w:p>
        </w:tc>
        <w:tc>
          <w:tcPr>
            <w:tcW w:w="1022" w:type="dxa"/>
            <w:hideMark/>
          </w:tcPr>
          <w:p w14:paraId="4AC18AFC"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89</w:t>
            </w:r>
          </w:p>
        </w:tc>
      </w:tr>
      <w:tr w:rsidR="00BF7C67" w:rsidRPr="00BF7C67" w14:paraId="742D84B8" w14:textId="77777777" w:rsidTr="000B7339">
        <w:trPr>
          <w:trHeight w:val="559"/>
          <w:tblHeader/>
          <w:jc w:val="center"/>
        </w:trPr>
        <w:tc>
          <w:tcPr>
            <w:tcW w:w="2082" w:type="dxa"/>
            <w:hideMark/>
          </w:tcPr>
          <w:p w14:paraId="0DBD66F2" w14:textId="77777777" w:rsidR="00BF7C67" w:rsidRPr="00014848" w:rsidRDefault="00BF7C67" w:rsidP="00014848">
            <w:pPr>
              <w:wordWrap w:val="0"/>
              <w:spacing w:before="0" w:beforeAutospacing="0" w:after="0" w:afterAutospacing="0" w:line="240" w:lineRule="auto"/>
              <w:jc w:val="left"/>
              <w:rPr>
                <w:rFonts w:eastAsia="Times New Roman"/>
                <w:color w:val="auto"/>
                <w:lang w:val="tr-TR"/>
              </w:rPr>
            </w:pPr>
            <w:r w:rsidRPr="00014848">
              <w:rPr>
                <w:rFonts w:eastAsia="Times New Roman"/>
                <w:color w:val="auto"/>
                <w:lang w:val="tr-TR"/>
              </w:rPr>
              <w:t>E</w:t>
            </w:r>
          </w:p>
        </w:tc>
        <w:tc>
          <w:tcPr>
            <w:tcW w:w="1022" w:type="dxa"/>
            <w:hideMark/>
          </w:tcPr>
          <w:p w14:paraId="36231294"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80</w:t>
            </w:r>
          </w:p>
        </w:tc>
        <w:tc>
          <w:tcPr>
            <w:tcW w:w="1022" w:type="dxa"/>
            <w:hideMark/>
          </w:tcPr>
          <w:p w14:paraId="7A8C883C"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13.6</w:t>
            </w:r>
          </w:p>
        </w:tc>
        <w:tc>
          <w:tcPr>
            <w:tcW w:w="1022" w:type="dxa"/>
            <w:hideMark/>
          </w:tcPr>
          <w:p w14:paraId="7C536925"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26.886</w:t>
            </w:r>
          </w:p>
        </w:tc>
        <w:tc>
          <w:tcPr>
            <w:tcW w:w="1022" w:type="dxa"/>
            <w:hideMark/>
          </w:tcPr>
          <w:p w14:paraId="26F59A51"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w:t>
            </w:r>
          </w:p>
        </w:tc>
        <w:tc>
          <w:tcPr>
            <w:tcW w:w="1022" w:type="dxa"/>
            <w:hideMark/>
          </w:tcPr>
          <w:p w14:paraId="766AA449"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89</w:t>
            </w:r>
          </w:p>
        </w:tc>
      </w:tr>
      <w:tr w:rsidR="00BF7C67" w:rsidRPr="00BF7C67" w14:paraId="42458DBB" w14:textId="77777777" w:rsidTr="000B7339">
        <w:trPr>
          <w:trHeight w:val="559"/>
          <w:tblHeader/>
          <w:jc w:val="center"/>
        </w:trPr>
        <w:tc>
          <w:tcPr>
            <w:tcW w:w="2082" w:type="dxa"/>
            <w:hideMark/>
          </w:tcPr>
          <w:p w14:paraId="11497EF5" w14:textId="77777777" w:rsidR="00BF7C67" w:rsidRPr="00014848" w:rsidRDefault="00BF7C67" w:rsidP="00014848">
            <w:pPr>
              <w:wordWrap w:val="0"/>
              <w:spacing w:before="0" w:beforeAutospacing="0" w:after="0" w:afterAutospacing="0" w:line="240" w:lineRule="auto"/>
              <w:jc w:val="left"/>
              <w:rPr>
                <w:rFonts w:eastAsia="Times New Roman"/>
                <w:color w:val="auto"/>
                <w:lang w:val="tr-TR"/>
              </w:rPr>
            </w:pPr>
            <w:r w:rsidRPr="00014848">
              <w:rPr>
                <w:rFonts w:eastAsia="Times New Roman"/>
                <w:color w:val="auto"/>
                <w:lang w:val="tr-TR"/>
              </w:rPr>
              <w:t>S</w:t>
            </w:r>
          </w:p>
        </w:tc>
        <w:tc>
          <w:tcPr>
            <w:tcW w:w="1022" w:type="dxa"/>
            <w:hideMark/>
          </w:tcPr>
          <w:p w14:paraId="4B983713"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80</w:t>
            </w:r>
          </w:p>
        </w:tc>
        <w:tc>
          <w:tcPr>
            <w:tcW w:w="1022" w:type="dxa"/>
            <w:hideMark/>
          </w:tcPr>
          <w:p w14:paraId="2985A4FA"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14.288</w:t>
            </w:r>
          </w:p>
        </w:tc>
        <w:tc>
          <w:tcPr>
            <w:tcW w:w="1022" w:type="dxa"/>
            <w:hideMark/>
          </w:tcPr>
          <w:p w14:paraId="0716D2D5"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26.773</w:t>
            </w:r>
          </w:p>
        </w:tc>
        <w:tc>
          <w:tcPr>
            <w:tcW w:w="1022" w:type="dxa"/>
            <w:hideMark/>
          </w:tcPr>
          <w:p w14:paraId="11A2D7D9"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w:t>
            </w:r>
          </w:p>
        </w:tc>
        <w:tc>
          <w:tcPr>
            <w:tcW w:w="1022" w:type="dxa"/>
            <w:hideMark/>
          </w:tcPr>
          <w:p w14:paraId="381CC1DA"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95</w:t>
            </w:r>
          </w:p>
        </w:tc>
      </w:tr>
      <w:tr w:rsidR="00BF7C67" w:rsidRPr="00BF7C67" w14:paraId="15C09C7A" w14:textId="77777777" w:rsidTr="000B7339">
        <w:trPr>
          <w:trHeight w:val="544"/>
          <w:tblHeader/>
          <w:jc w:val="center"/>
        </w:trPr>
        <w:tc>
          <w:tcPr>
            <w:tcW w:w="2082" w:type="dxa"/>
            <w:hideMark/>
          </w:tcPr>
          <w:p w14:paraId="015B07FE" w14:textId="77777777" w:rsidR="00BF7C67" w:rsidRPr="00014848" w:rsidRDefault="00BF7C67" w:rsidP="00014848">
            <w:pPr>
              <w:wordWrap w:val="0"/>
              <w:spacing w:before="0" w:beforeAutospacing="0" w:after="0" w:afterAutospacing="0" w:line="240" w:lineRule="auto"/>
              <w:jc w:val="left"/>
              <w:rPr>
                <w:rFonts w:eastAsia="Times New Roman"/>
                <w:color w:val="auto"/>
                <w:lang w:val="tr-TR"/>
              </w:rPr>
            </w:pPr>
            <w:r w:rsidRPr="00014848">
              <w:rPr>
                <w:rFonts w:eastAsia="Times New Roman"/>
                <w:color w:val="auto"/>
                <w:lang w:val="tr-TR"/>
              </w:rPr>
              <w:t>G</w:t>
            </w:r>
          </w:p>
        </w:tc>
        <w:tc>
          <w:tcPr>
            <w:tcW w:w="1022" w:type="dxa"/>
            <w:hideMark/>
          </w:tcPr>
          <w:p w14:paraId="1C4E5293"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80</w:t>
            </w:r>
          </w:p>
        </w:tc>
        <w:tc>
          <w:tcPr>
            <w:tcW w:w="1022" w:type="dxa"/>
            <w:hideMark/>
          </w:tcPr>
          <w:p w14:paraId="03C286D5"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12.038</w:t>
            </w:r>
          </w:p>
        </w:tc>
        <w:tc>
          <w:tcPr>
            <w:tcW w:w="1022" w:type="dxa"/>
            <w:hideMark/>
          </w:tcPr>
          <w:p w14:paraId="58BB458C"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23.835</w:t>
            </w:r>
          </w:p>
        </w:tc>
        <w:tc>
          <w:tcPr>
            <w:tcW w:w="1022" w:type="dxa"/>
            <w:hideMark/>
          </w:tcPr>
          <w:p w14:paraId="2367FBD7"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w:t>
            </w:r>
          </w:p>
        </w:tc>
        <w:tc>
          <w:tcPr>
            <w:tcW w:w="1022" w:type="dxa"/>
            <w:hideMark/>
          </w:tcPr>
          <w:p w14:paraId="2EEB58F6"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90</w:t>
            </w:r>
          </w:p>
        </w:tc>
      </w:tr>
      <w:tr w:rsidR="00BF7C67" w:rsidRPr="00BF7C67" w14:paraId="641D5337" w14:textId="77777777" w:rsidTr="000B7339">
        <w:trPr>
          <w:trHeight w:val="280"/>
          <w:tblHeader/>
          <w:jc w:val="center"/>
        </w:trPr>
        <w:tc>
          <w:tcPr>
            <w:tcW w:w="2082" w:type="dxa"/>
            <w:hideMark/>
          </w:tcPr>
          <w:p w14:paraId="193FC1C3" w14:textId="77777777" w:rsidR="00BF7C67" w:rsidRPr="00014848" w:rsidRDefault="00BF7C67" w:rsidP="00014848">
            <w:pPr>
              <w:wordWrap w:val="0"/>
              <w:spacing w:before="0" w:beforeAutospacing="0" w:after="0" w:afterAutospacing="0" w:line="240" w:lineRule="auto"/>
              <w:jc w:val="left"/>
              <w:rPr>
                <w:rFonts w:eastAsia="Times New Roman"/>
                <w:color w:val="auto"/>
                <w:lang w:val="tr-TR"/>
              </w:rPr>
            </w:pPr>
            <w:r w:rsidRPr="00014848">
              <w:rPr>
                <w:rFonts w:eastAsia="Times New Roman"/>
                <w:color w:val="auto"/>
                <w:lang w:val="tr-TR"/>
              </w:rPr>
              <w:t>XUSRD</w:t>
            </w:r>
          </w:p>
        </w:tc>
        <w:tc>
          <w:tcPr>
            <w:tcW w:w="1022" w:type="dxa"/>
            <w:hideMark/>
          </w:tcPr>
          <w:p w14:paraId="3DF911F8"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80</w:t>
            </w:r>
          </w:p>
        </w:tc>
        <w:tc>
          <w:tcPr>
            <w:tcW w:w="1022" w:type="dxa"/>
            <w:hideMark/>
          </w:tcPr>
          <w:p w14:paraId="17333B2A"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0.075</w:t>
            </w:r>
          </w:p>
        </w:tc>
        <w:tc>
          <w:tcPr>
            <w:tcW w:w="1022" w:type="dxa"/>
            <w:hideMark/>
          </w:tcPr>
          <w:p w14:paraId="237170CF"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0.265</w:t>
            </w:r>
          </w:p>
        </w:tc>
        <w:tc>
          <w:tcPr>
            <w:tcW w:w="1022" w:type="dxa"/>
            <w:hideMark/>
          </w:tcPr>
          <w:p w14:paraId="520171AA"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w:t>
            </w:r>
          </w:p>
        </w:tc>
        <w:tc>
          <w:tcPr>
            <w:tcW w:w="1022" w:type="dxa"/>
            <w:hideMark/>
          </w:tcPr>
          <w:p w14:paraId="7858074F"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1</w:t>
            </w:r>
          </w:p>
        </w:tc>
      </w:tr>
      <w:tr w:rsidR="00BF7C67" w:rsidRPr="00BF7C67" w14:paraId="296C5D2E" w14:textId="77777777" w:rsidTr="000B7339">
        <w:trPr>
          <w:trHeight w:val="280"/>
          <w:tblHeader/>
          <w:jc w:val="center"/>
        </w:trPr>
        <w:tc>
          <w:tcPr>
            <w:tcW w:w="2082" w:type="dxa"/>
            <w:hideMark/>
          </w:tcPr>
          <w:p w14:paraId="540E4603" w14:textId="77777777" w:rsidR="00BF7C67" w:rsidRPr="00014848" w:rsidRDefault="00BF7C67" w:rsidP="00014848">
            <w:pPr>
              <w:wordWrap w:val="0"/>
              <w:spacing w:before="0" w:beforeAutospacing="0" w:after="0" w:afterAutospacing="0" w:line="240" w:lineRule="auto"/>
              <w:jc w:val="left"/>
              <w:rPr>
                <w:rFonts w:eastAsia="Times New Roman"/>
                <w:color w:val="auto"/>
                <w:lang w:val="tr-TR"/>
              </w:rPr>
            </w:pPr>
            <w:r w:rsidRPr="00014848">
              <w:rPr>
                <w:rFonts w:eastAsia="Times New Roman"/>
                <w:color w:val="auto"/>
                <w:lang w:val="tr-TR"/>
              </w:rPr>
              <w:t>MRE</w:t>
            </w:r>
          </w:p>
        </w:tc>
        <w:tc>
          <w:tcPr>
            <w:tcW w:w="1022" w:type="dxa"/>
            <w:hideMark/>
          </w:tcPr>
          <w:p w14:paraId="42A0C38C"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80</w:t>
            </w:r>
          </w:p>
        </w:tc>
        <w:tc>
          <w:tcPr>
            <w:tcW w:w="1022" w:type="dxa"/>
            <w:hideMark/>
          </w:tcPr>
          <w:p w14:paraId="2C7A9F43"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0.25</w:t>
            </w:r>
          </w:p>
        </w:tc>
        <w:tc>
          <w:tcPr>
            <w:tcW w:w="1022" w:type="dxa"/>
            <w:hideMark/>
          </w:tcPr>
          <w:p w14:paraId="773C992A"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0.436</w:t>
            </w:r>
          </w:p>
        </w:tc>
        <w:tc>
          <w:tcPr>
            <w:tcW w:w="1022" w:type="dxa"/>
            <w:hideMark/>
          </w:tcPr>
          <w:p w14:paraId="6ACCD990"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w:t>
            </w:r>
          </w:p>
        </w:tc>
        <w:tc>
          <w:tcPr>
            <w:tcW w:w="1022" w:type="dxa"/>
            <w:hideMark/>
          </w:tcPr>
          <w:p w14:paraId="43A84503"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1</w:t>
            </w:r>
          </w:p>
        </w:tc>
      </w:tr>
      <w:tr w:rsidR="00BF7C67" w:rsidRPr="00BF7C67" w14:paraId="52F18522" w14:textId="77777777" w:rsidTr="000B7339">
        <w:trPr>
          <w:trHeight w:val="263"/>
          <w:tblHeader/>
          <w:jc w:val="center"/>
        </w:trPr>
        <w:tc>
          <w:tcPr>
            <w:tcW w:w="2082" w:type="dxa"/>
            <w:hideMark/>
          </w:tcPr>
          <w:p w14:paraId="3D3F866D" w14:textId="77777777" w:rsidR="00BF7C67" w:rsidRPr="00014848" w:rsidRDefault="00BF7C67" w:rsidP="00014848">
            <w:pPr>
              <w:wordWrap w:val="0"/>
              <w:spacing w:before="0" w:beforeAutospacing="0" w:after="0" w:afterAutospacing="0" w:line="240" w:lineRule="auto"/>
              <w:jc w:val="left"/>
              <w:rPr>
                <w:rFonts w:eastAsia="Times New Roman"/>
                <w:color w:val="auto"/>
                <w:lang w:val="tr-TR"/>
              </w:rPr>
            </w:pPr>
            <w:r w:rsidRPr="00014848">
              <w:rPr>
                <w:rFonts w:eastAsia="Times New Roman"/>
                <w:color w:val="auto"/>
                <w:lang w:val="tr-TR"/>
              </w:rPr>
              <w:t>SUB</w:t>
            </w:r>
          </w:p>
        </w:tc>
        <w:tc>
          <w:tcPr>
            <w:tcW w:w="1022" w:type="dxa"/>
            <w:hideMark/>
          </w:tcPr>
          <w:p w14:paraId="4914DFD6"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80</w:t>
            </w:r>
          </w:p>
        </w:tc>
        <w:tc>
          <w:tcPr>
            <w:tcW w:w="1022" w:type="dxa"/>
            <w:hideMark/>
          </w:tcPr>
          <w:p w14:paraId="40DBDF39"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0.9</w:t>
            </w:r>
          </w:p>
        </w:tc>
        <w:tc>
          <w:tcPr>
            <w:tcW w:w="1022" w:type="dxa"/>
            <w:hideMark/>
          </w:tcPr>
          <w:p w14:paraId="4E0F5650"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1.228</w:t>
            </w:r>
          </w:p>
        </w:tc>
        <w:tc>
          <w:tcPr>
            <w:tcW w:w="1022" w:type="dxa"/>
            <w:hideMark/>
          </w:tcPr>
          <w:p w14:paraId="3D6F1547"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w:t>
            </w:r>
          </w:p>
        </w:tc>
        <w:tc>
          <w:tcPr>
            <w:tcW w:w="1022" w:type="dxa"/>
            <w:hideMark/>
          </w:tcPr>
          <w:p w14:paraId="708FAD20"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4</w:t>
            </w:r>
          </w:p>
        </w:tc>
      </w:tr>
      <w:tr w:rsidR="00BF7C67" w:rsidRPr="00BF7C67" w14:paraId="37FC1C5D" w14:textId="77777777" w:rsidTr="000B7339">
        <w:trPr>
          <w:trHeight w:val="559"/>
          <w:tblHeader/>
          <w:jc w:val="center"/>
        </w:trPr>
        <w:tc>
          <w:tcPr>
            <w:tcW w:w="2082" w:type="dxa"/>
            <w:hideMark/>
          </w:tcPr>
          <w:p w14:paraId="168D4165" w14:textId="77777777" w:rsidR="00BF7C67" w:rsidRPr="00014848" w:rsidRDefault="00BF7C67" w:rsidP="00014848">
            <w:pPr>
              <w:wordWrap w:val="0"/>
              <w:spacing w:before="0" w:beforeAutospacing="0" w:after="0" w:afterAutospacing="0" w:line="240" w:lineRule="auto"/>
              <w:jc w:val="left"/>
              <w:rPr>
                <w:rFonts w:eastAsia="Times New Roman"/>
                <w:color w:val="auto"/>
                <w:lang w:val="tr-TR"/>
              </w:rPr>
            </w:pPr>
            <w:r w:rsidRPr="00014848">
              <w:rPr>
                <w:rFonts w:eastAsia="Times New Roman"/>
                <w:color w:val="auto"/>
                <w:lang w:val="tr-TR"/>
              </w:rPr>
              <w:t>ROA</w:t>
            </w:r>
          </w:p>
        </w:tc>
        <w:tc>
          <w:tcPr>
            <w:tcW w:w="1022" w:type="dxa"/>
            <w:hideMark/>
          </w:tcPr>
          <w:p w14:paraId="44128394"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80</w:t>
            </w:r>
          </w:p>
        </w:tc>
        <w:tc>
          <w:tcPr>
            <w:tcW w:w="1022" w:type="dxa"/>
            <w:hideMark/>
          </w:tcPr>
          <w:p w14:paraId="154E8DF9"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0.039</w:t>
            </w:r>
          </w:p>
        </w:tc>
        <w:tc>
          <w:tcPr>
            <w:tcW w:w="1022" w:type="dxa"/>
            <w:hideMark/>
          </w:tcPr>
          <w:p w14:paraId="01A94EB2"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0.102</w:t>
            </w:r>
          </w:p>
        </w:tc>
        <w:tc>
          <w:tcPr>
            <w:tcW w:w="1022" w:type="dxa"/>
            <w:hideMark/>
          </w:tcPr>
          <w:p w14:paraId="573CAFD8"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-0.224</w:t>
            </w:r>
          </w:p>
        </w:tc>
        <w:tc>
          <w:tcPr>
            <w:tcW w:w="1022" w:type="dxa"/>
            <w:hideMark/>
          </w:tcPr>
          <w:p w14:paraId="3502657C"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0.323</w:t>
            </w:r>
          </w:p>
        </w:tc>
      </w:tr>
      <w:tr w:rsidR="00BF7C67" w:rsidRPr="00BF7C67" w14:paraId="75CF242B" w14:textId="77777777" w:rsidTr="000B7339">
        <w:trPr>
          <w:trHeight w:val="280"/>
          <w:tblHeader/>
          <w:jc w:val="center"/>
        </w:trPr>
        <w:tc>
          <w:tcPr>
            <w:tcW w:w="2082" w:type="dxa"/>
            <w:hideMark/>
          </w:tcPr>
          <w:p w14:paraId="5DD8FF37" w14:textId="77777777" w:rsidR="00BF7C67" w:rsidRPr="00014848" w:rsidRDefault="00BF7C67" w:rsidP="00014848">
            <w:pPr>
              <w:wordWrap w:val="0"/>
              <w:spacing w:before="0" w:beforeAutospacing="0" w:after="0" w:afterAutospacing="0" w:line="240" w:lineRule="auto"/>
              <w:jc w:val="left"/>
              <w:rPr>
                <w:rFonts w:eastAsia="Times New Roman"/>
                <w:color w:val="auto"/>
                <w:lang w:val="tr-TR"/>
              </w:rPr>
            </w:pPr>
            <w:r w:rsidRPr="00014848">
              <w:rPr>
                <w:rFonts w:eastAsia="Times New Roman"/>
                <w:color w:val="auto"/>
                <w:lang w:val="tr-TR"/>
              </w:rPr>
              <w:t>LVR</w:t>
            </w:r>
          </w:p>
        </w:tc>
        <w:tc>
          <w:tcPr>
            <w:tcW w:w="1022" w:type="dxa"/>
            <w:hideMark/>
          </w:tcPr>
          <w:p w14:paraId="68C3BC3E"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80</w:t>
            </w:r>
          </w:p>
        </w:tc>
        <w:tc>
          <w:tcPr>
            <w:tcW w:w="1022" w:type="dxa"/>
            <w:hideMark/>
          </w:tcPr>
          <w:p w14:paraId="38197981"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0.396</w:t>
            </w:r>
          </w:p>
        </w:tc>
        <w:tc>
          <w:tcPr>
            <w:tcW w:w="1022" w:type="dxa"/>
            <w:hideMark/>
          </w:tcPr>
          <w:p w14:paraId="445721AE"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0.192</w:t>
            </w:r>
          </w:p>
        </w:tc>
        <w:tc>
          <w:tcPr>
            <w:tcW w:w="1022" w:type="dxa"/>
            <w:hideMark/>
          </w:tcPr>
          <w:p w14:paraId="5DB3E58E"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0.03</w:t>
            </w:r>
          </w:p>
        </w:tc>
        <w:tc>
          <w:tcPr>
            <w:tcW w:w="1022" w:type="dxa"/>
            <w:hideMark/>
          </w:tcPr>
          <w:p w14:paraId="785F29AF"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0.903</w:t>
            </w:r>
          </w:p>
        </w:tc>
      </w:tr>
      <w:tr w:rsidR="00BF7C67" w:rsidRPr="00BF7C67" w14:paraId="573067B0" w14:textId="77777777" w:rsidTr="000B7339">
        <w:trPr>
          <w:trHeight w:val="544"/>
          <w:tblHeader/>
          <w:jc w:val="center"/>
        </w:trPr>
        <w:tc>
          <w:tcPr>
            <w:tcW w:w="2082" w:type="dxa"/>
            <w:hideMark/>
          </w:tcPr>
          <w:p w14:paraId="26AB80BB" w14:textId="77777777" w:rsidR="00BF7C67" w:rsidRPr="00014848" w:rsidRDefault="00BF7C67" w:rsidP="00014848">
            <w:pPr>
              <w:wordWrap w:val="0"/>
              <w:spacing w:before="0" w:beforeAutospacing="0" w:after="0" w:afterAutospacing="0" w:line="240" w:lineRule="auto"/>
              <w:jc w:val="left"/>
              <w:rPr>
                <w:rFonts w:eastAsia="Times New Roman"/>
                <w:color w:val="auto"/>
                <w:lang w:val="tr-TR"/>
              </w:rPr>
            </w:pPr>
            <w:r w:rsidRPr="00014848">
              <w:rPr>
                <w:rFonts w:eastAsia="Times New Roman"/>
                <w:color w:val="auto"/>
                <w:lang w:val="tr-TR"/>
              </w:rPr>
              <w:t>SZE</w:t>
            </w:r>
          </w:p>
        </w:tc>
        <w:tc>
          <w:tcPr>
            <w:tcW w:w="1022" w:type="dxa"/>
            <w:hideMark/>
          </w:tcPr>
          <w:p w14:paraId="1C764A32"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80</w:t>
            </w:r>
          </w:p>
        </w:tc>
        <w:tc>
          <w:tcPr>
            <w:tcW w:w="1022" w:type="dxa"/>
            <w:hideMark/>
          </w:tcPr>
          <w:p w14:paraId="010925DA"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21.645</w:t>
            </w:r>
          </w:p>
        </w:tc>
        <w:tc>
          <w:tcPr>
            <w:tcW w:w="1022" w:type="dxa"/>
            <w:hideMark/>
          </w:tcPr>
          <w:p w14:paraId="56FDCCD3"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1.674</w:t>
            </w:r>
          </w:p>
        </w:tc>
        <w:tc>
          <w:tcPr>
            <w:tcW w:w="1022" w:type="dxa"/>
            <w:hideMark/>
          </w:tcPr>
          <w:p w14:paraId="61A79012"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17.932</w:t>
            </w:r>
          </w:p>
        </w:tc>
        <w:tc>
          <w:tcPr>
            <w:tcW w:w="1022" w:type="dxa"/>
            <w:hideMark/>
          </w:tcPr>
          <w:p w14:paraId="1BCE5F72" w14:textId="77777777" w:rsidR="00BF7C67" w:rsidRPr="00014848" w:rsidRDefault="00BF7C67" w:rsidP="00014848">
            <w:pPr>
              <w:wordWrap w:val="0"/>
              <w:spacing w:before="0" w:beforeAutospacing="0" w:after="0" w:afterAutospacing="0" w:line="240" w:lineRule="auto"/>
              <w:jc w:val="right"/>
              <w:rPr>
                <w:rFonts w:eastAsia="Times New Roman"/>
                <w:color w:val="auto"/>
                <w:lang w:val="tr-TR"/>
              </w:rPr>
            </w:pPr>
            <w:r w:rsidRPr="00014848">
              <w:rPr>
                <w:rFonts w:eastAsia="Times New Roman"/>
                <w:color w:val="auto"/>
                <w:lang w:val="tr-TR"/>
              </w:rPr>
              <w:t>24.714</w:t>
            </w:r>
          </w:p>
        </w:tc>
      </w:tr>
    </w:tbl>
    <w:p w14:paraId="481257F1" w14:textId="77777777" w:rsidR="00014848" w:rsidRDefault="00014848" w:rsidP="007F1E7B"/>
    <w:p w14:paraId="42293C4B" w14:textId="386608D6" w:rsidR="00FA1513" w:rsidRDefault="007F1E7B" w:rsidP="007F1E7B">
      <w:r w:rsidRPr="00FA1513">
        <w:t>Through the dataset, it can be noted that size of the companies in XELKT is quite similar when standard dev</w:t>
      </w:r>
      <w:r>
        <w:t>i</w:t>
      </w:r>
      <w:r w:rsidRPr="00FA1513">
        <w:t xml:space="preserve">ation is taken into consideration. </w:t>
      </w:r>
      <w:r>
        <w:t xml:space="preserve">Similarly, same argument can be said for </w:t>
      </w:r>
      <w:r>
        <w:lastRenderedPageBreak/>
        <w:t xml:space="preserve">leverage ratio as well. Since there are only 9 companies has ESG scores amongst 20, </w:t>
      </w:r>
      <w:r w:rsidR="00586596">
        <w:t xml:space="preserve">mean </w:t>
      </w:r>
      <w:r>
        <w:t xml:space="preserve">of ESG, E, S and G scores are relatively </w:t>
      </w:r>
      <w:r w:rsidR="00586596">
        <w:t>low</w:t>
      </w:r>
      <w:r>
        <w:t>.</w:t>
      </w:r>
      <w:r w:rsidR="00586596">
        <w:t xml:space="preserve"> GWIND-2022 has greatest ROA in the dataset while AKSUE-2019 lowest. AKENR-2021 has the highest “E” pillar score, while ENJSA-2022 and </w:t>
      </w:r>
      <w:r w:rsidR="005D270B">
        <w:t>ENJSA-2021 has the highest “S” and “G” pillar score</w:t>
      </w:r>
      <w:r w:rsidR="00460C6B">
        <w:t>s</w:t>
      </w:r>
      <w:r w:rsidR="005D270B">
        <w:t xml:space="preserve"> respectively.</w:t>
      </w:r>
      <w:r w:rsidR="00460C6B">
        <w:t xml:space="preserve"> ENJSA-2022 also has the highest overall ESG score as well. </w:t>
      </w:r>
    </w:p>
    <w:p w14:paraId="3D6DC01A" w14:textId="77777777" w:rsidR="001B7459" w:rsidRDefault="001B7459" w:rsidP="007F1E7B"/>
    <w:p w14:paraId="77EBCFDD" w14:textId="31A2C29E" w:rsidR="00974DE2" w:rsidRDefault="005C0BE0" w:rsidP="005B3402">
      <w:pPr>
        <w:pStyle w:val="Heading2"/>
      </w:pPr>
      <w:r>
        <w:t>All XELKT Companies</w:t>
      </w:r>
    </w:p>
    <w:p w14:paraId="04B30A1E" w14:textId="3779A39B" w:rsidR="005C5E72" w:rsidRPr="005C0BE0" w:rsidRDefault="005C5E72" w:rsidP="005C0BE0">
      <w:r w:rsidRPr="005C5E72">
        <w:t>Models (1) and (2) were run in a dataset that includes all companies included in the XELKT index.</w:t>
      </w:r>
    </w:p>
    <w:p w14:paraId="06B8FA39" w14:textId="3C03D946" w:rsidR="005B67CB" w:rsidRDefault="005B67CB" w:rsidP="005B3402">
      <w:pPr>
        <w:pStyle w:val="Heading3"/>
      </w:pPr>
      <w:r>
        <w:t>Correlation Matrix</w:t>
      </w:r>
    </w:p>
    <w:p w14:paraId="7AB31DF5" w14:textId="04330D2E" w:rsidR="009719F0" w:rsidRPr="009719F0" w:rsidRDefault="009719F0" w:rsidP="009719F0">
      <w:r>
        <w:t>Pearson correlation coefficient matrix for model (1) and (2) variables is given below as an heatmap.</w:t>
      </w:r>
    </w:p>
    <w:p w14:paraId="1169829A" w14:textId="77777777" w:rsidR="009719F0" w:rsidRDefault="001F499A" w:rsidP="009719F0">
      <w:pPr>
        <w:pStyle w:val="ListParagraph"/>
        <w:keepNext/>
        <w:jc w:val="center"/>
      </w:pPr>
      <w:r>
        <w:rPr>
          <w:noProof/>
        </w:rPr>
        <w:lastRenderedPageBreak/>
        <w:drawing>
          <wp:inline distT="0" distB="0" distL="0" distR="0" wp14:anchorId="67391EE1" wp14:editId="75DC00B4">
            <wp:extent cx="4008593" cy="3427421"/>
            <wp:effectExtent l="0" t="0" r="508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a:extLst>
                        <a:ext uri="{28A0092B-C50C-407E-A947-70E740481C1C}">
                          <a14:useLocalDpi xmlns:a14="http://schemas.microsoft.com/office/drawing/2010/main" val="0"/>
                        </a:ext>
                      </a:extLst>
                    </a:blip>
                    <a:stretch>
                      <a:fillRect/>
                    </a:stretch>
                  </pic:blipFill>
                  <pic:spPr>
                    <a:xfrm>
                      <a:off x="0" y="0"/>
                      <a:ext cx="4043835" cy="3457554"/>
                    </a:xfrm>
                    <a:prstGeom prst="rect">
                      <a:avLst/>
                    </a:prstGeom>
                  </pic:spPr>
                </pic:pic>
              </a:graphicData>
            </a:graphic>
          </wp:inline>
        </w:drawing>
      </w:r>
    </w:p>
    <w:p w14:paraId="767BFB96" w14:textId="1C811A22" w:rsidR="001F499A" w:rsidRDefault="009719F0" w:rsidP="009719F0">
      <w:pPr>
        <w:pStyle w:val="Caption"/>
        <w:jc w:val="center"/>
        <w:rPr>
          <w:b/>
          <w:bCs/>
          <w:i w:val="0"/>
          <w:iCs w:val="0"/>
          <w:color w:val="000000" w:themeColor="text1"/>
          <w:sz w:val="24"/>
          <w:szCs w:val="24"/>
        </w:rPr>
      </w:pPr>
      <w:r w:rsidRPr="009719F0">
        <w:rPr>
          <w:b/>
          <w:bCs/>
          <w:i w:val="0"/>
          <w:iCs w:val="0"/>
          <w:color w:val="000000" w:themeColor="text1"/>
          <w:sz w:val="24"/>
          <w:szCs w:val="24"/>
        </w:rPr>
        <w:t xml:space="preserve">Figure </w:t>
      </w:r>
      <w:r w:rsidRPr="009719F0">
        <w:rPr>
          <w:b/>
          <w:bCs/>
          <w:i w:val="0"/>
          <w:iCs w:val="0"/>
          <w:color w:val="000000" w:themeColor="text1"/>
          <w:sz w:val="24"/>
          <w:szCs w:val="24"/>
        </w:rPr>
        <w:fldChar w:fldCharType="begin"/>
      </w:r>
      <w:r w:rsidRPr="009719F0">
        <w:rPr>
          <w:b/>
          <w:bCs/>
          <w:i w:val="0"/>
          <w:iCs w:val="0"/>
          <w:color w:val="000000" w:themeColor="text1"/>
          <w:sz w:val="24"/>
          <w:szCs w:val="24"/>
        </w:rPr>
        <w:instrText xml:space="preserve"> SEQ Figure \* ARABIC </w:instrText>
      </w:r>
      <w:r w:rsidRPr="009719F0">
        <w:rPr>
          <w:b/>
          <w:bCs/>
          <w:i w:val="0"/>
          <w:iCs w:val="0"/>
          <w:color w:val="000000" w:themeColor="text1"/>
          <w:sz w:val="24"/>
          <w:szCs w:val="24"/>
        </w:rPr>
        <w:fldChar w:fldCharType="separate"/>
      </w:r>
      <w:r w:rsidR="00862E33">
        <w:rPr>
          <w:b/>
          <w:bCs/>
          <w:i w:val="0"/>
          <w:iCs w:val="0"/>
          <w:noProof/>
          <w:color w:val="000000" w:themeColor="text1"/>
          <w:sz w:val="24"/>
          <w:szCs w:val="24"/>
        </w:rPr>
        <w:t>2</w:t>
      </w:r>
      <w:r w:rsidRPr="009719F0">
        <w:rPr>
          <w:b/>
          <w:bCs/>
          <w:i w:val="0"/>
          <w:iCs w:val="0"/>
          <w:color w:val="000000" w:themeColor="text1"/>
          <w:sz w:val="24"/>
          <w:szCs w:val="24"/>
        </w:rPr>
        <w:fldChar w:fldCharType="end"/>
      </w:r>
      <w:r w:rsidRPr="009719F0">
        <w:rPr>
          <w:b/>
          <w:bCs/>
          <w:i w:val="0"/>
          <w:iCs w:val="0"/>
          <w:color w:val="000000" w:themeColor="text1"/>
          <w:sz w:val="24"/>
          <w:szCs w:val="24"/>
        </w:rPr>
        <w:t>. Pearson Correlation Coefficient Matrix</w:t>
      </w:r>
      <w:r w:rsidR="00BA27E7">
        <w:rPr>
          <w:b/>
          <w:bCs/>
          <w:i w:val="0"/>
          <w:iCs w:val="0"/>
          <w:color w:val="000000" w:themeColor="text1"/>
          <w:sz w:val="24"/>
          <w:szCs w:val="24"/>
        </w:rPr>
        <w:t xml:space="preserve"> for</w:t>
      </w:r>
      <w:r w:rsidRPr="009719F0">
        <w:rPr>
          <w:b/>
          <w:bCs/>
          <w:i w:val="0"/>
          <w:iCs w:val="0"/>
          <w:color w:val="000000" w:themeColor="text1"/>
          <w:sz w:val="24"/>
          <w:szCs w:val="24"/>
        </w:rPr>
        <w:t xml:space="preserve"> </w:t>
      </w:r>
      <w:r>
        <w:rPr>
          <w:b/>
          <w:bCs/>
          <w:i w:val="0"/>
          <w:iCs w:val="0"/>
          <w:color w:val="000000" w:themeColor="text1"/>
          <w:sz w:val="24"/>
          <w:szCs w:val="24"/>
        </w:rPr>
        <w:t>(1), (2) Variables</w:t>
      </w:r>
    </w:p>
    <w:p w14:paraId="6F3EE771" w14:textId="65804063" w:rsidR="009408EC" w:rsidRPr="009408EC" w:rsidRDefault="00D0313E" w:rsidP="009408EC">
      <w:r>
        <w:t>Visualization</w:t>
      </w:r>
      <w:r w:rsidR="009408EC">
        <w:t xml:space="preserve"> of the given </w:t>
      </w:r>
      <w:r w:rsidR="00BA27E7">
        <w:t>matrix</w:t>
      </w:r>
      <w:r w:rsidR="009408EC">
        <w:t xml:space="preserve"> is given below.</w:t>
      </w:r>
    </w:p>
    <w:p w14:paraId="44BB9493" w14:textId="77777777" w:rsidR="00BA27E7" w:rsidRDefault="001F499A" w:rsidP="00BA27E7">
      <w:pPr>
        <w:pStyle w:val="ListParagraph"/>
        <w:keepNext/>
        <w:jc w:val="center"/>
      </w:pPr>
      <w:r>
        <w:rPr>
          <w:noProof/>
        </w:rPr>
        <w:drawing>
          <wp:inline distT="0" distB="0" distL="0" distR="0" wp14:anchorId="7DF1BECE" wp14:editId="259C48C3">
            <wp:extent cx="3416300" cy="2921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0">
                      <a:extLst>
                        <a:ext uri="{28A0092B-C50C-407E-A947-70E740481C1C}">
                          <a14:useLocalDpi xmlns:a14="http://schemas.microsoft.com/office/drawing/2010/main" val="0"/>
                        </a:ext>
                      </a:extLst>
                    </a:blip>
                    <a:stretch>
                      <a:fillRect/>
                    </a:stretch>
                  </pic:blipFill>
                  <pic:spPr>
                    <a:xfrm>
                      <a:off x="0" y="0"/>
                      <a:ext cx="3430889" cy="2933474"/>
                    </a:xfrm>
                    <a:prstGeom prst="rect">
                      <a:avLst/>
                    </a:prstGeom>
                  </pic:spPr>
                </pic:pic>
              </a:graphicData>
            </a:graphic>
          </wp:inline>
        </w:drawing>
      </w:r>
    </w:p>
    <w:p w14:paraId="6CD2A2CB" w14:textId="0F62ADFB" w:rsidR="001F499A" w:rsidRDefault="00BA27E7" w:rsidP="00BA27E7">
      <w:pPr>
        <w:pStyle w:val="Caption"/>
        <w:jc w:val="center"/>
        <w:rPr>
          <w:b/>
          <w:bCs/>
          <w:i w:val="0"/>
          <w:iCs w:val="0"/>
          <w:color w:val="000000" w:themeColor="text1"/>
          <w:sz w:val="24"/>
          <w:szCs w:val="24"/>
        </w:rPr>
      </w:pPr>
      <w:r w:rsidRPr="00BA27E7">
        <w:rPr>
          <w:b/>
          <w:bCs/>
          <w:i w:val="0"/>
          <w:iCs w:val="0"/>
          <w:color w:val="000000" w:themeColor="text1"/>
          <w:sz w:val="24"/>
          <w:szCs w:val="24"/>
        </w:rPr>
        <w:t xml:space="preserve">Figure </w:t>
      </w:r>
      <w:r w:rsidRPr="00BA27E7">
        <w:rPr>
          <w:b/>
          <w:bCs/>
          <w:i w:val="0"/>
          <w:iCs w:val="0"/>
          <w:color w:val="000000" w:themeColor="text1"/>
          <w:sz w:val="24"/>
          <w:szCs w:val="24"/>
        </w:rPr>
        <w:fldChar w:fldCharType="begin"/>
      </w:r>
      <w:r w:rsidRPr="00BA27E7">
        <w:rPr>
          <w:b/>
          <w:bCs/>
          <w:i w:val="0"/>
          <w:iCs w:val="0"/>
          <w:color w:val="000000" w:themeColor="text1"/>
          <w:sz w:val="24"/>
          <w:szCs w:val="24"/>
        </w:rPr>
        <w:instrText xml:space="preserve"> SEQ Figure \* ARABIC </w:instrText>
      </w:r>
      <w:r w:rsidRPr="00BA27E7">
        <w:rPr>
          <w:b/>
          <w:bCs/>
          <w:i w:val="0"/>
          <w:iCs w:val="0"/>
          <w:color w:val="000000" w:themeColor="text1"/>
          <w:sz w:val="24"/>
          <w:szCs w:val="24"/>
        </w:rPr>
        <w:fldChar w:fldCharType="separate"/>
      </w:r>
      <w:r w:rsidR="00862E33">
        <w:rPr>
          <w:b/>
          <w:bCs/>
          <w:i w:val="0"/>
          <w:iCs w:val="0"/>
          <w:noProof/>
          <w:color w:val="000000" w:themeColor="text1"/>
          <w:sz w:val="24"/>
          <w:szCs w:val="24"/>
        </w:rPr>
        <w:t>3</w:t>
      </w:r>
      <w:r w:rsidRPr="00BA27E7">
        <w:rPr>
          <w:b/>
          <w:bCs/>
          <w:i w:val="0"/>
          <w:iCs w:val="0"/>
          <w:color w:val="000000" w:themeColor="text1"/>
          <w:sz w:val="24"/>
          <w:szCs w:val="24"/>
        </w:rPr>
        <w:fldChar w:fldCharType="end"/>
      </w:r>
      <w:r w:rsidRPr="00BA27E7">
        <w:rPr>
          <w:b/>
          <w:bCs/>
          <w:i w:val="0"/>
          <w:iCs w:val="0"/>
          <w:color w:val="000000" w:themeColor="text1"/>
          <w:sz w:val="24"/>
          <w:szCs w:val="24"/>
        </w:rPr>
        <w:t xml:space="preserve">. </w:t>
      </w:r>
      <w:r w:rsidR="00D0313E" w:rsidRPr="00BA27E7">
        <w:rPr>
          <w:b/>
          <w:bCs/>
          <w:i w:val="0"/>
          <w:iCs w:val="0"/>
          <w:color w:val="000000" w:themeColor="text1"/>
          <w:sz w:val="24"/>
          <w:szCs w:val="24"/>
        </w:rPr>
        <w:t>Visualization</w:t>
      </w:r>
      <w:r w:rsidRPr="00BA27E7">
        <w:rPr>
          <w:b/>
          <w:bCs/>
          <w:i w:val="0"/>
          <w:iCs w:val="0"/>
          <w:color w:val="000000" w:themeColor="text1"/>
          <w:sz w:val="24"/>
          <w:szCs w:val="24"/>
        </w:rPr>
        <w:t xml:space="preserve"> of</w:t>
      </w:r>
      <w:r>
        <w:rPr>
          <w:b/>
          <w:bCs/>
          <w:i w:val="0"/>
          <w:iCs w:val="0"/>
          <w:color w:val="000000" w:themeColor="text1"/>
          <w:sz w:val="24"/>
          <w:szCs w:val="24"/>
        </w:rPr>
        <w:t xml:space="preserve"> </w:t>
      </w:r>
      <w:r w:rsidRPr="009719F0">
        <w:rPr>
          <w:b/>
          <w:bCs/>
          <w:i w:val="0"/>
          <w:iCs w:val="0"/>
          <w:color w:val="000000" w:themeColor="text1"/>
          <w:sz w:val="24"/>
          <w:szCs w:val="24"/>
        </w:rPr>
        <w:t>Pearson Correlation Coefficient</w:t>
      </w:r>
      <w:r w:rsidRPr="00BA27E7">
        <w:rPr>
          <w:b/>
          <w:bCs/>
          <w:i w:val="0"/>
          <w:iCs w:val="0"/>
          <w:color w:val="000000" w:themeColor="text1"/>
          <w:sz w:val="24"/>
          <w:szCs w:val="24"/>
        </w:rPr>
        <w:t xml:space="preserve"> Matrix</w:t>
      </w:r>
      <w:r>
        <w:rPr>
          <w:b/>
          <w:bCs/>
          <w:i w:val="0"/>
          <w:iCs w:val="0"/>
          <w:color w:val="000000" w:themeColor="text1"/>
          <w:sz w:val="24"/>
          <w:szCs w:val="24"/>
        </w:rPr>
        <w:t xml:space="preserve"> for (1), (2) Variables</w:t>
      </w:r>
    </w:p>
    <w:p w14:paraId="1023F65B" w14:textId="3983129C" w:rsidR="005E5E1A" w:rsidRPr="005E5E1A" w:rsidRDefault="00A62472" w:rsidP="005E5E1A">
      <w:r>
        <w:lastRenderedPageBreak/>
        <w:t>As expected, each ESG pillar scores and ESG overall score are highly positive</w:t>
      </w:r>
      <w:r w:rsidR="005C78F5">
        <w:t>ly</w:t>
      </w:r>
      <w:r>
        <w:t xml:space="preserve"> correlated. It should also be noted that, all ESG related variables are moderately high correlated with company size and XUSRD index involv</w:t>
      </w:r>
      <w:r w:rsidR="00373363">
        <w:t>e</w:t>
      </w:r>
      <w:r>
        <w:t xml:space="preserve">ment. Since XUSRD involvement depends on sustainability performance constraints, it can be said that it is also an expected outcome. </w:t>
      </w:r>
      <w:r w:rsidR="00DB3F4F">
        <w:t xml:space="preserve">Yet, it is important to emphasize that only 3 of the 22 XELKT companies </w:t>
      </w:r>
      <w:r w:rsidR="005572F3">
        <w:t xml:space="preserve">satisfy requirements of </w:t>
      </w:r>
      <w:r w:rsidR="00DB3F4F">
        <w:t xml:space="preserve">XUSRD. </w:t>
      </w:r>
      <w:r>
        <w:t>Leverage ratio has negative correlation with companies’ profitability</w:t>
      </w:r>
      <w:r w:rsidR="005C78F5">
        <w:t xml:space="preserve"> and war related market risks exposure</w:t>
      </w:r>
      <w:r>
        <w:t xml:space="preserve">. </w:t>
      </w:r>
    </w:p>
    <w:p w14:paraId="41C4CA6F" w14:textId="5989C562" w:rsidR="00A02B43" w:rsidRDefault="005B67CB" w:rsidP="00C91464">
      <w:pPr>
        <w:pStyle w:val="Heading3"/>
      </w:pPr>
      <w:r>
        <w:t xml:space="preserve">Test </w:t>
      </w:r>
    </w:p>
    <w:p w14:paraId="0E07BFE2" w14:textId="4785C3EC" w:rsidR="0026505C" w:rsidRDefault="0026505C" w:rsidP="0026505C">
      <w:r>
        <w:t xml:space="preserve">Firstly, F </w:t>
      </w:r>
      <w:r w:rsidR="00AA2AD1">
        <w:t>T</w:t>
      </w:r>
      <w:r>
        <w:t xml:space="preserve">est is applied to decide whether pooled OLS </w:t>
      </w:r>
      <w:r w:rsidR="008F267C">
        <w:t xml:space="preserve">model </w:t>
      </w:r>
      <w:r>
        <w:t>or fixed effects</w:t>
      </w:r>
      <w:r w:rsidR="008F267C">
        <w:t xml:space="preserve"> model is</w:t>
      </w:r>
      <w:r>
        <w:t xml:space="preserve"> suitable</w:t>
      </w:r>
      <w:r w:rsidR="00AA2AD1">
        <w:t xml:space="preserve"> for model (1)</w:t>
      </w:r>
      <w:r>
        <w:t xml:space="preserve">. Since p value </w:t>
      </w:r>
      <w:r w:rsidR="008F267C">
        <w:t>(</w:t>
      </w:r>
      <w:r w:rsidR="008F267C" w:rsidRPr="008F267C">
        <w:t>0</w:t>
      </w:r>
      <w:r w:rsidR="00085C3E">
        <w:t>.</w:t>
      </w:r>
      <w:r w:rsidR="008F267C" w:rsidRPr="008F267C">
        <w:t>0004</w:t>
      </w:r>
      <w:r w:rsidR="008F267C">
        <w:t xml:space="preserve">) </w:t>
      </w:r>
      <w:r>
        <w:t xml:space="preserve">is </w:t>
      </w:r>
      <w:r w:rsidR="008F267C" w:rsidRPr="008C7275">
        <w:t xml:space="preserve">much smaller than </w:t>
      </w:r>
      <w:r w:rsidR="0067495F">
        <w:t>0</w:t>
      </w:r>
      <w:r w:rsidR="00085C3E">
        <w:t>.</w:t>
      </w:r>
      <w:r w:rsidR="0067495F">
        <w:t>05</w:t>
      </w:r>
      <w:r w:rsidR="008F267C" w:rsidRPr="008C7275">
        <w:t xml:space="preserve"> level</w:t>
      </w:r>
      <w:r w:rsidR="008F267C">
        <w:t xml:space="preserve">, </w:t>
      </w:r>
      <w:r w:rsidR="008F267C" w:rsidRPr="008C7275">
        <w:t>we can reject the null hypothesis</w:t>
      </w:r>
      <w:r w:rsidR="008F267C">
        <w:t xml:space="preserve"> (pooled</w:t>
      </w:r>
      <w:r w:rsidR="008F267C" w:rsidRPr="00354C99">
        <w:t xml:space="preserve"> </w:t>
      </w:r>
      <w:r w:rsidR="008F267C">
        <w:t>OLS</w:t>
      </w:r>
      <w:r w:rsidR="008F267C" w:rsidRPr="00354C99">
        <w:t xml:space="preserve"> is </w:t>
      </w:r>
      <w:r w:rsidR="008F267C">
        <w:t>more suitable</w:t>
      </w:r>
      <w:r w:rsidR="008F267C" w:rsidRPr="00354C99">
        <w:t xml:space="preserve"> over fixed effects</w:t>
      </w:r>
      <w:r w:rsidR="008F267C">
        <w:t>)</w:t>
      </w:r>
      <w:r w:rsidR="008F267C" w:rsidRPr="008C7275">
        <w:t xml:space="preserve"> and </w:t>
      </w:r>
      <w:r w:rsidR="008F267C">
        <w:t>select</w:t>
      </w:r>
      <w:r w:rsidR="008F267C" w:rsidRPr="008C7275">
        <w:t xml:space="preserve"> fixed effects model.</w:t>
      </w:r>
      <w:r w:rsidR="0067495F">
        <w:t xml:space="preserve"> Secondly, Hausman </w:t>
      </w:r>
      <w:r w:rsidR="00AA2AD1">
        <w:t>T</w:t>
      </w:r>
      <w:r w:rsidR="0067495F">
        <w:t xml:space="preserve">est is applied in order to choose more suitable model between fixed effects model and random effects model. Since </w:t>
      </w:r>
      <w:r w:rsidR="0067495F" w:rsidRPr="0067495F">
        <w:t>p</w:t>
      </w:r>
      <w:r w:rsidR="0067495F">
        <w:t xml:space="preserve"> </w:t>
      </w:r>
      <w:r w:rsidR="0067495F" w:rsidRPr="0067495F">
        <w:t>value</w:t>
      </w:r>
      <w:r w:rsidR="0067495F">
        <w:t xml:space="preserve"> (</w:t>
      </w:r>
      <w:r w:rsidR="0067495F" w:rsidRPr="0067495F">
        <w:t>0</w:t>
      </w:r>
      <w:r w:rsidR="00085C3E">
        <w:t>.</w:t>
      </w:r>
      <w:r w:rsidR="0067495F" w:rsidRPr="0067495F">
        <w:t>6046</w:t>
      </w:r>
      <w:r w:rsidR="0067495F">
        <w:t>)</w:t>
      </w:r>
      <w:r w:rsidR="0067495F" w:rsidRPr="0067495F">
        <w:t xml:space="preserve"> is higher than 0.05 </w:t>
      </w:r>
      <w:r w:rsidR="0067495F">
        <w:t>level</w:t>
      </w:r>
      <w:r w:rsidR="001C57BF">
        <w:t>,</w:t>
      </w:r>
      <w:r w:rsidR="0067495F">
        <w:t xml:space="preserve"> </w:t>
      </w:r>
      <w:r w:rsidR="0067495F" w:rsidRPr="0067495F">
        <w:t xml:space="preserve">we </w:t>
      </w:r>
      <w:r w:rsidR="0067495F">
        <w:t xml:space="preserve">can </w:t>
      </w:r>
      <w:r w:rsidR="0067495F" w:rsidRPr="0067495F">
        <w:t>accept the null hypothesis</w:t>
      </w:r>
      <w:r w:rsidR="0067495F">
        <w:t xml:space="preserve"> </w:t>
      </w:r>
      <w:r w:rsidR="00D931F5">
        <w:t xml:space="preserve">which says </w:t>
      </w:r>
      <w:r w:rsidR="00D931F5" w:rsidRPr="00354C99">
        <w:t xml:space="preserve">random effects is </w:t>
      </w:r>
      <w:r w:rsidR="00D931F5">
        <w:t>more suitable</w:t>
      </w:r>
      <w:r w:rsidR="00D931F5" w:rsidRPr="00354C99">
        <w:t xml:space="preserve"> over fixed effects</w:t>
      </w:r>
      <w:r w:rsidR="00D931F5">
        <w:t>.</w:t>
      </w:r>
    </w:p>
    <w:p w14:paraId="783B9209" w14:textId="51D3D5A8" w:rsidR="00AA2AD1" w:rsidRDefault="001C57BF" w:rsidP="00AA2AD1">
      <w:pPr>
        <w:rPr>
          <w:shd w:val="clear" w:color="auto" w:fill="FFFFFF"/>
        </w:rPr>
      </w:pPr>
      <w:r>
        <w:t xml:space="preserve">In order to check </w:t>
      </w:r>
      <w:r w:rsidR="00AA2AD1">
        <w:t xml:space="preserve">the existence of </w:t>
      </w:r>
      <w:r>
        <w:t xml:space="preserve">serial correlation and </w:t>
      </w:r>
      <w:r w:rsidRPr="00B82BC3">
        <w:t>heteroscedasticity</w:t>
      </w:r>
      <w:r w:rsidR="00AA2AD1">
        <w:t>,</w:t>
      </w:r>
      <w:r>
        <w:t xml:space="preserve"> </w:t>
      </w:r>
      <w:r w:rsidRPr="001C57BF">
        <w:rPr>
          <w:bCs/>
        </w:rPr>
        <w:t xml:space="preserve">Breusch-Godfrey/Wooldridge and Breusch-Pagan </w:t>
      </w:r>
      <w:r w:rsidR="00AA2AD1">
        <w:rPr>
          <w:bCs/>
        </w:rPr>
        <w:t>T</w:t>
      </w:r>
      <w:r w:rsidRPr="001C57BF">
        <w:rPr>
          <w:bCs/>
        </w:rPr>
        <w:t>ests applied</w:t>
      </w:r>
      <w:r w:rsidR="00AA2AD1">
        <w:rPr>
          <w:bCs/>
        </w:rPr>
        <w:t xml:space="preserve"> for random effects model</w:t>
      </w:r>
      <w:r>
        <w:rPr>
          <w:bCs/>
        </w:rPr>
        <w:t xml:space="preserve">. For the </w:t>
      </w:r>
      <w:r w:rsidRPr="001C57BF">
        <w:rPr>
          <w:bCs/>
        </w:rPr>
        <w:t>Breusch-Godfrey/Wooldridge</w:t>
      </w:r>
      <w:r>
        <w:rPr>
          <w:bCs/>
        </w:rPr>
        <w:t xml:space="preserve"> test since p value (0</w:t>
      </w:r>
      <w:r w:rsidR="00085C3E">
        <w:rPr>
          <w:bCs/>
        </w:rPr>
        <w:t>.</w:t>
      </w:r>
      <w:r>
        <w:rPr>
          <w:bCs/>
        </w:rPr>
        <w:t xml:space="preserve">707) is </w:t>
      </w:r>
      <w:r w:rsidRPr="00A02B43">
        <w:t>abo</w:t>
      </w:r>
      <w:r>
        <w:t>v</w:t>
      </w:r>
      <w:r w:rsidRPr="00A02B43">
        <w:t>e 0.05</w:t>
      </w:r>
      <w:r>
        <w:t xml:space="preserve">, it can be said that </w:t>
      </w:r>
      <w:r w:rsidRPr="00A02B43">
        <w:t>there is no serial correlation.</w:t>
      </w:r>
      <w:r w:rsidR="00AA2AD1">
        <w:t xml:space="preserve"> For the </w:t>
      </w:r>
      <w:r w:rsidR="00AA2AD1" w:rsidRPr="001C57BF">
        <w:rPr>
          <w:bCs/>
        </w:rPr>
        <w:t>Breusch-Pagan</w:t>
      </w:r>
      <w:r w:rsidR="00AA2AD1">
        <w:rPr>
          <w:bCs/>
        </w:rPr>
        <w:t xml:space="preserve"> </w:t>
      </w:r>
      <w:r w:rsidR="009D3011">
        <w:rPr>
          <w:bCs/>
        </w:rPr>
        <w:t>T</w:t>
      </w:r>
      <w:r w:rsidR="00AA2AD1">
        <w:rPr>
          <w:bCs/>
        </w:rPr>
        <w:t xml:space="preserve">est </w:t>
      </w:r>
      <w:r w:rsidR="00AA2AD1">
        <w:rPr>
          <w:shd w:val="clear" w:color="auto" w:fill="FFFFFF"/>
        </w:rPr>
        <w:t>a</w:t>
      </w:r>
      <w:r w:rsidR="00AA2AD1" w:rsidRPr="00B82BC3">
        <w:rPr>
          <w:shd w:val="clear" w:color="auto" w:fill="FFFFFF"/>
        </w:rPr>
        <w:t xml:space="preserve">s </w:t>
      </w:r>
      <w:r w:rsidR="00AA2AD1">
        <w:rPr>
          <w:shd w:val="clear" w:color="auto" w:fill="FFFFFF"/>
        </w:rPr>
        <w:t xml:space="preserve">p </w:t>
      </w:r>
      <w:r w:rsidR="00AA2AD1" w:rsidRPr="00B82BC3">
        <w:rPr>
          <w:shd w:val="clear" w:color="auto" w:fill="FFFFFF"/>
        </w:rPr>
        <w:t>value</w:t>
      </w:r>
      <w:r w:rsidR="00AA2AD1">
        <w:rPr>
          <w:shd w:val="clear" w:color="auto" w:fill="FFFFFF"/>
        </w:rPr>
        <w:t xml:space="preserve"> (0</w:t>
      </w:r>
      <w:r w:rsidR="00085C3E">
        <w:rPr>
          <w:shd w:val="clear" w:color="auto" w:fill="FFFFFF"/>
        </w:rPr>
        <w:t>.</w:t>
      </w:r>
      <w:r w:rsidR="00AA2AD1">
        <w:rPr>
          <w:shd w:val="clear" w:color="auto" w:fill="FFFFFF"/>
        </w:rPr>
        <w:t>247)</w:t>
      </w:r>
      <w:r w:rsidR="00AA2AD1" w:rsidRPr="00B82BC3">
        <w:rPr>
          <w:shd w:val="clear" w:color="auto" w:fill="FFFFFF"/>
        </w:rPr>
        <w:t xml:space="preserve"> is </w:t>
      </w:r>
      <w:r w:rsidR="00AA2AD1">
        <w:rPr>
          <w:shd w:val="clear" w:color="auto" w:fill="FFFFFF"/>
        </w:rPr>
        <w:t>higher</w:t>
      </w:r>
      <w:r w:rsidR="00AA2AD1" w:rsidRPr="00B82BC3">
        <w:rPr>
          <w:shd w:val="clear" w:color="auto" w:fill="FFFFFF"/>
        </w:rPr>
        <w:t xml:space="preserve"> than </w:t>
      </w:r>
      <w:r w:rsidR="00AA2AD1">
        <w:rPr>
          <w:shd w:val="clear" w:color="auto" w:fill="FFFFFF"/>
        </w:rPr>
        <w:t>0</w:t>
      </w:r>
      <w:r w:rsidR="00085C3E">
        <w:rPr>
          <w:shd w:val="clear" w:color="auto" w:fill="FFFFFF"/>
        </w:rPr>
        <w:t>.</w:t>
      </w:r>
      <w:r w:rsidR="00AA2AD1">
        <w:rPr>
          <w:shd w:val="clear" w:color="auto" w:fill="FFFFFF"/>
        </w:rPr>
        <w:t>05 level</w:t>
      </w:r>
      <w:r w:rsidR="00AA2AD1" w:rsidRPr="00B82BC3">
        <w:rPr>
          <w:shd w:val="clear" w:color="auto" w:fill="FFFFFF"/>
        </w:rPr>
        <w:t xml:space="preserve">, </w:t>
      </w:r>
      <w:r w:rsidR="00AA2AD1">
        <w:rPr>
          <w:shd w:val="clear" w:color="auto" w:fill="FFFFFF"/>
        </w:rPr>
        <w:t xml:space="preserve">it can be said </w:t>
      </w:r>
      <w:r w:rsidR="00AA2AD1" w:rsidRPr="00B82BC3">
        <w:rPr>
          <w:shd w:val="clear" w:color="auto" w:fill="FFFFFF"/>
        </w:rPr>
        <w:t>th</w:t>
      </w:r>
      <w:r w:rsidR="00AA2AD1">
        <w:rPr>
          <w:shd w:val="clear" w:color="auto" w:fill="FFFFFF"/>
        </w:rPr>
        <w:t>at</w:t>
      </w:r>
      <w:r w:rsidR="00AA2AD1" w:rsidRPr="00B82BC3">
        <w:rPr>
          <w:shd w:val="clear" w:color="auto" w:fill="FFFFFF"/>
        </w:rPr>
        <w:t xml:space="preserve"> data has </w:t>
      </w:r>
      <w:r w:rsidR="00AA2AD1">
        <w:rPr>
          <w:shd w:val="clear" w:color="auto" w:fill="FFFFFF"/>
        </w:rPr>
        <w:t xml:space="preserve">no </w:t>
      </w:r>
      <w:r w:rsidR="00AA2AD1" w:rsidRPr="00B82BC3">
        <w:rPr>
          <w:shd w:val="clear" w:color="auto" w:fill="FFFFFF"/>
        </w:rPr>
        <w:t>h</w:t>
      </w:r>
      <w:r w:rsidR="00AA2AD1">
        <w:rPr>
          <w:shd w:val="clear" w:color="auto" w:fill="FFFFFF"/>
        </w:rPr>
        <w:t>etero</w:t>
      </w:r>
      <w:r w:rsidR="00AA2AD1" w:rsidRPr="00B82BC3">
        <w:rPr>
          <w:shd w:val="clear" w:color="auto" w:fill="FFFFFF"/>
        </w:rPr>
        <w:t>scedasticity.</w:t>
      </w:r>
    </w:p>
    <w:p w14:paraId="0B2B8D1C" w14:textId="7F5AA371" w:rsidR="001C57BF" w:rsidRDefault="00AA2AD1" w:rsidP="0026505C">
      <w:r>
        <w:t>Summary of the tests for model (1) and (2) are given below.</w:t>
      </w:r>
    </w:p>
    <w:p w14:paraId="00E71D88" w14:textId="62756E87" w:rsidR="00AD3F3F" w:rsidRPr="00AD3F3F" w:rsidRDefault="00AD3F3F" w:rsidP="00AD3F3F">
      <w:pPr>
        <w:pStyle w:val="Caption"/>
        <w:keepNext/>
        <w:jc w:val="center"/>
        <w:rPr>
          <w:b/>
          <w:bCs/>
          <w:i w:val="0"/>
          <w:iCs w:val="0"/>
          <w:color w:val="000000" w:themeColor="text1"/>
          <w:sz w:val="24"/>
          <w:szCs w:val="24"/>
        </w:rPr>
      </w:pPr>
      <w:r w:rsidRPr="00AD3F3F">
        <w:rPr>
          <w:b/>
          <w:bCs/>
          <w:i w:val="0"/>
          <w:iCs w:val="0"/>
          <w:color w:val="000000" w:themeColor="text1"/>
          <w:sz w:val="24"/>
          <w:szCs w:val="24"/>
        </w:rPr>
        <w:t xml:space="preserve">Table </w:t>
      </w:r>
      <w:r w:rsidRPr="00AD3F3F">
        <w:rPr>
          <w:b/>
          <w:bCs/>
          <w:i w:val="0"/>
          <w:iCs w:val="0"/>
          <w:color w:val="000000" w:themeColor="text1"/>
          <w:sz w:val="24"/>
          <w:szCs w:val="24"/>
        </w:rPr>
        <w:fldChar w:fldCharType="begin"/>
      </w:r>
      <w:r w:rsidRPr="00AD3F3F">
        <w:rPr>
          <w:b/>
          <w:bCs/>
          <w:i w:val="0"/>
          <w:iCs w:val="0"/>
          <w:color w:val="000000" w:themeColor="text1"/>
          <w:sz w:val="24"/>
          <w:szCs w:val="24"/>
        </w:rPr>
        <w:instrText xml:space="preserve"> SEQ Table \* ARABIC </w:instrText>
      </w:r>
      <w:r w:rsidRPr="00AD3F3F">
        <w:rPr>
          <w:b/>
          <w:bCs/>
          <w:i w:val="0"/>
          <w:iCs w:val="0"/>
          <w:color w:val="000000" w:themeColor="text1"/>
          <w:sz w:val="24"/>
          <w:szCs w:val="24"/>
        </w:rPr>
        <w:fldChar w:fldCharType="separate"/>
      </w:r>
      <w:r w:rsidRPr="00AD3F3F">
        <w:rPr>
          <w:b/>
          <w:bCs/>
          <w:i w:val="0"/>
          <w:iCs w:val="0"/>
          <w:noProof/>
          <w:color w:val="000000" w:themeColor="text1"/>
          <w:sz w:val="24"/>
          <w:szCs w:val="24"/>
        </w:rPr>
        <w:t>7</w:t>
      </w:r>
      <w:r w:rsidRPr="00AD3F3F">
        <w:rPr>
          <w:b/>
          <w:bCs/>
          <w:i w:val="0"/>
          <w:iCs w:val="0"/>
          <w:color w:val="000000" w:themeColor="text1"/>
          <w:sz w:val="24"/>
          <w:szCs w:val="24"/>
        </w:rPr>
        <w:fldChar w:fldCharType="end"/>
      </w:r>
      <w:r w:rsidRPr="00AD3F3F">
        <w:rPr>
          <w:b/>
          <w:bCs/>
          <w:i w:val="0"/>
          <w:iCs w:val="0"/>
          <w:color w:val="000000" w:themeColor="text1"/>
          <w:sz w:val="24"/>
          <w:szCs w:val="24"/>
        </w:rPr>
        <w:t>. Summary of Tests for (1),(2)</w:t>
      </w:r>
    </w:p>
    <w:tbl>
      <w:tblPr>
        <w:tblStyle w:val="TableGrid"/>
        <w:tblW w:w="0" w:type="auto"/>
        <w:jc w:val="center"/>
        <w:tblLook w:val="04A0" w:firstRow="1" w:lastRow="0" w:firstColumn="1" w:lastColumn="0" w:noHBand="0" w:noVBand="1"/>
      </w:tblPr>
      <w:tblGrid>
        <w:gridCol w:w="3823"/>
        <w:gridCol w:w="1701"/>
        <w:gridCol w:w="1559"/>
      </w:tblGrid>
      <w:tr w:rsidR="009D3011" w14:paraId="0B2269BC" w14:textId="77777777" w:rsidTr="00AD3F3F">
        <w:trPr>
          <w:jc w:val="center"/>
        </w:trPr>
        <w:tc>
          <w:tcPr>
            <w:tcW w:w="3823" w:type="dxa"/>
          </w:tcPr>
          <w:p w14:paraId="31CDD35C" w14:textId="3CA16673" w:rsidR="009D3011" w:rsidRPr="00AD3F3F" w:rsidRDefault="00AD3F3F" w:rsidP="0026505C">
            <w:pPr>
              <w:rPr>
                <w:b/>
                <w:bCs/>
              </w:rPr>
            </w:pPr>
            <w:r w:rsidRPr="00AD3F3F">
              <w:rPr>
                <w:b/>
                <w:bCs/>
              </w:rPr>
              <w:t>Tests</w:t>
            </w:r>
          </w:p>
        </w:tc>
        <w:tc>
          <w:tcPr>
            <w:tcW w:w="1701" w:type="dxa"/>
          </w:tcPr>
          <w:p w14:paraId="40325041" w14:textId="4E4A3114" w:rsidR="009D3011" w:rsidRPr="004D7046" w:rsidRDefault="009D3011" w:rsidP="0026505C">
            <w:pPr>
              <w:rPr>
                <w:b/>
                <w:bCs/>
              </w:rPr>
            </w:pPr>
            <w:r w:rsidRPr="004D7046">
              <w:rPr>
                <w:b/>
                <w:bCs/>
              </w:rPr>
              <w:t>(1) p value</w:t>
            </w:r>
          </w:p>
        </w:tc>
        <w:tc>
          <w:tcPr>
            <w:tcW w:w="1559" w:type="dxa"/>
          </w:tcPr>
          <w:p w14:paraId="653DB3AA" w14:textId="06966C30" w:rsidR="009D3011" w:rsidRPr="004D7046" w:rsidRDefault="009D3011" w:rsidP="0026505C">
            <w:pPr>
              <w:rPr>
                <w:b/>
                <w:bCs/>
              </w:rPr>
            </w:pPr>
            <w:r w:rsidRPr="004D7046">
              <w:rPr>
                <w:b/>
                <w:bCs/>
              </w:rPr>
              <w:t xml:space="preserve">(2) p value </w:t>
            </w:r>
          </w:p>
        </w:tc>
      </w:tr>
      <w:tr w:rsidR="009D3011" w14:paraId="3C5DC525" w14:textId="77777777" w:rsidTr="00AD3F3F">
        <w:trPr>
          <w:jc w:val="center"/>
        </w:trPr>
        <w:tc>
          <w:tcPr>
            <w:tcW w:w="3823" w:type="dxa"/>
          </w:tcPr>
          <w:p w14:paraId="423F1721" w14:textId="2312FADD" w:rsidR="009D3011" w:rsidRPr="004D7046" w:rsidRDefault="009D3011" w:rsidP="0026505C">
            <w:pPr>
              <w:rPr>
                <w:b/>
                <w:bCs/>
              </w:rPr>
            </w:pPr>
            <w:r w:rsidRPr="004D7046">
              <w:rPr>
                <w:b/>
                <w:bCs/>
              </w:rPr>
              <w:lastRenderedPageBreak/>
              <w:t>F Test</w:t>
            </w:r>
          </w:p>
        </w:tc>
        <w:tc>
          <w:tcPr>
            <w:tcW w:w="1701" w:type="dxa"/>
          </w:tcPr>
          <w:p w14:paraId="096731EC" w14:textId="74052B0C" w:rsidR="009D3011" w:rsidRDefault="009015A9" w:rsidP="0026505C">
            <w:r w:rsidRPr="008F267C">
              <w:t>0</w:t>
            </w:r>
            <w:r w:rsidR="00085C3E">
              <w:t>.</w:t>
            </w:r>
            <w:r w:rsidRPr="008F267C">
              <w:t>0004</w:t>
            </w:r>
          </w:p>
        </w:tc>
        <w:tc>
          <w:tcPr>
            <w:tcW w:w="1559" w:type="dxa"/>
          </w:tcPr>
          <w:p w14:paraId="56F2D18C" w14:textId="01A494D4" w:rsidR="009D3011" w:rsidRDefault="009015A9" w:rsidP="0026505C">
            <w:r w:rsidRPr="009015A9">
              <w:t>0</w:t>
            </w:r>
            <w:r w:rsidR="00085C3E">
              <w:t>.</w:t>
            </w:r>
            <w:r w:rsidRPr="009015A9">
              <w:t>0016</w:t>
            </w:r>
          </w:p>
        </w:tc>
      </w:tr>
      <w:tr w:rsidR="009D3011" w14:paraId="2A9809AE" w14:textId="77777777" w:rsidTr="00AD3F3F">
        <w:trPr>
          <w:jc w:val="center"/>
        </w:trPr>
        <w:tc>
          <w:tcPr>
            <w:tcW w:w="3823" w:type="dxa"/>
          </w:tcPr>
          <w:p w14:paraId="7460FBBF" w14:textId="4E29A86D" w:rsidR="009D3011" w:rsidRPr="004D7046" w:rsidRDefault="009015A9" w:rsidP="0026505C">
            <w:pPr>
              <w:rPr>
                <w:b/>
                <w:bCs/>
              </w:rPr>
            </w:pPr>
            <w:r w:rsidRPr="004D7046">
              <w:rPr>
                <w:b/>
                <w:bCs/>
              </w:rPr>
              <w:t>Hausman Test</w:t>
            </w:r>
          </w:p>
        </w:tc>
        <w:tc>
          <w:tcPr>
            <w:tcW w:w="1701" w:type="dxa"/>
          </w:tcPr>
          <w:p w14:paraId="47A6D063" w14:textId="1B511669" w:rsidR="009D3011" w:rsidRDefault="009015A9" w:rsidP="0026505C">
            <w:r w:rsidRPr="0067495F">
              <w:t>0</w:t>
            </w:r>
            <w:r w:rsidR="00085C3E">
              <w:t>.</w:t>
            </w:r>
            <w:r w:rsidRPr="0067495F">
              <w:t>6046</w:t>
            </w:r>
          </w:p>
        </w:tc>
        <w:tc>
          <w:tcPr>
            <w:tcW w:w="1559" w:type="dxa"/>
          </w:tcPr>
          <w:p w14:paraId="6595457F" w14:textId="4C87D474" w:rsidR="009D3011" w:rsidRDefault="009015A9" w:rsidP="009015A9">
            <w:r w:rsidRPr="009015A9">
              <w:t>0</w:t>
            </w:r>
            <w:r w:rsidR="00085C3E">
              <w:t>.</w:t>
            </w:r>
            <w:r w:rsidRPr="009015A9">
              <w:t>6347</w:t>
            </w:r>
          </w:p>
        </w:tc>
      </w:tr>
      <w:tr w:rsidR="009D3011" w14:paraId="2DC32B9B" w14:textId="77777777" w:rsidTr="00AD3F3F">
        <w:trPr>
          <w:jc w:val="center"/>
        </w:trPr>
        <w:tc>
          <w:tcPr>
            <w:tcW w:w="3823" w:type="dxa"/>
          </w:tcPr>
          <w:p w14:paraId="25B82B4F" w14:textId="590C313C" w:rsidR="009D3011" w:rsidRPr="004D7046" w:rsidRDefault="009D3011" w:rsidP="0026505C">
            <w:pPr>
              <w:rPr>
                <w:b/>
                <w:bCs/>
              </w:rPr>
            </w:pPr>
            <w:r w:rsidRPr="004D7046">
              <w:rPr>
                <w:b/>
                <w:bCs/>
              </w:rPr>
              <w:t>Breusch-Godfrey/Wooldridge</w:t>
            </w:r>
            <w:r w:rsidR="009015A9" w:rsidRPr="004D7046">
              <w:rPr>
                <w:b/>
                <w:bCs/>
              </w:rPr>
              <w:t xml:space="preserve"> Test</w:t>
            </w:r>
          </w:p>
        </w:tc>
        <w:tc>
          <w:tcPr>
            <w:tcW w:w="1701" w:type="dxa"/>
          </w:tcPr>
          <w:p w14:paraId="25623A09" w14:textId="68764BF0" w:rsidR="009D3011" w:rsidRDefault="009015A9" w:rsidP="0026505C">
            <w:r>
              <w:rPr>
                <w:bCs/>
              </w:rPr>
              <w:t>0</w:t>
            </w:r>
            <w:r w:rsidR="00085C3E">
              <w:rPr>
                <w:bCs/>
              </w:rPr>
              <w:t>.</w:t>
            </w:r>
            <w:r>
              <w:rPr>
                <w:bCs/>
              </w:rPr>
              <w:t>707</w:t>
            </w:r>
          </w:p>
        </w:tc>
        <w:tc>
          <w:tcPr>
            <w:tcW w:w="1559" w:type="dxa"/>
          </w:tcPr>
          <w:p w14:paraId="445937EC" w14:textId="7D00B767" w:rsidR="009D3011" w:rsidRDefault="009015A9" w:rsidP="0026505C">
            <w:r w:rsidRPr="009015A9">
              <w:t>0</w:t>
            </w:r>
            <w:r w:rsidR="00085C3E">
              <w:t>.</w:t>
            </w:r>
            <w:r w:rsidRPr="009015A9">
              <w:t>6736</w:t>
            </w:r>
          </w:p>
        </w:tc>
      </w:tr>
      <w:tr w:rsidR="009D3011" w14:paraId="017B8079" w14:textId="77777777" w:rsidTr="00AD3F3F">
        <w:trPr>
          <w:jc w:val="center"/>
        </w:trPr>
        <w:tc>
          <w:tcPr>
            <w:tcW w:w="3823" w:type="dxa"/>
          </w:tcPr>
          <w:p w14:paraId="336CAF1A" w14:textId="0815C04F" w:rsidR="009D3011" w:rsidRPr="004D7046" w:rsidRDefault="009015A9" w:rsidP="0026505C">
            <w:pPr>
              <w:rPr>
                <w:b/>
                <w:bCs/>
              </w:rPr>
            </w:pPr>
            <w:r w:rsidRPr="004D7046">
              <w:rPr>
                <w:b/>
                <w:bCs/>
              </w:rPr>
              <w:t>Breusch-Pagan Test</w:t>
            </w:r>
          </w:p>
        </w:tc>
        <w:tc>
          <w:tcPr>
            <w:tcW w:w="1701" w:type="dxa"/>
          </w:tcPr>
          <w:p w14:paraId="6B865175" w14:textId="0DAA64B4" w:rsidR="009D3011" w:rsidRDefault="009015A9" w:rsidP="0026505C">
            <w:r>
              <w:rPr>
                <w:shd w:val="clear" w:color="auto" w:fill="FFFFFF"/>
              </w:rPr>
              <w:t>0</w:t>
            </w:r>
            <w:r w:rsidR="00085C3E">
              <w:rPr>
                <w:shd w:val="clear" w:color="auto" w:fill="FFFFFF"/>
              </w:rPr>
              <w:t>.</w:t>
            </w:r>
            <w:r>
              <w:rPr>
                <w:shd w:val="clear" w:color="auto" w:fill="FFFFFF"/>
              </w:rPr>
              <w:t>247</w:t>
            </w:r>
          </w:p>
        </w:tc>
        <w:tc>
          <w:tcPr>
            <w:tcW w:w="1559" w:type="dxa"/>
          </w:tcPr>
          <w:p w14:paraId="1AEFED9E" w14:textId="640D96F4" w:rsidR="009D3011" w:rsidRDefault="009015A9" w:rsidP="0026505C">
            <w:r w:rsidRPr="009015A9">
              <w:t>0</w:t>
            </w:r>
            <w:r w:rsidR="00085C3E">
              <w:t>.</w:t>
            </w:r>
            <w:r w:rsidRPr="009015A9">
              <w:t>664</w:t>
            </w:r>
          </w:p>
        </w:tc>
      </w:tr>
      <w:tr w:rsidR="009015A9" w14:paraId="24454C90" w14:textId="77777777" w:rsidTr="00AD3F3F">
        <w:trPr>
          <w:jc w:val="center"/>
        </w:trPr>
        <w:tc>
          <w:tcPr>
            <w:tcW w:w="7083" w:type="dxa"/>
            <w:gridSpan w:val="3"/>
          </w:tcPr>
          <w:p w14:paraId="146FE8DE" w14:textId="21E1ADA4" w:rsidR="009015A9" w:rsidRDefault="009015A9" w:rsidP="009015A9">
            <w:pPr>
              <w:jc w:val="center"/>
            </w:pPr>
            <w:r>
              <w:t xml:space="preserve">Both for (1) and (2) random effects are suitable. There is no serial correlation </w:t>
            </w:r>
            <w:r w:rsidR="00A10091">
              <w:t>or</w:t>
            </w:r>
            <w:r>
              <w:t xml:space="preserve"> </w:t>
            </w:r>
            <w:r w:rsidRPr="00B82BC3">
              <w:rPr>
                <w:shd w:val="clear" w:color="auto" w:fill="FFFFFF"/>
              </w:rPr>
              <w:t>h</w:t>
            </w:r>
            <w:r>
              <w:rPr>
                <w:shd w:val="clear" w:color="auto" w:fill="FFFFFF"/>
              </w:rPr>
              <w:t>etero</w:t>
            </w:r>
            <w:r w:rsidRPr="00B82BC3">
              <w:rPr>
                <w:shd w:val="clear" w:color="auto" w:fill="FFFFFF"/>
              </w:rPr>
              <w:t>scedasticity.</w:t>
            </w:r>
          </w:p>
        </w:tc>
      </w:tr>
    </w:tbl>
    <w:p w14:paraId="1F244BD8" w14:textId="77777777" w:rsidR="00AA2AD1" w:rsidRDefault="00AA2AD1" w:rsidP="0026505C"/>
    <w:p w14:paraId="6C4BA123" w14:textId="41EA2D4D" w:rsidR="005B3402" w:rsidRDefault="005B3402" w:rsidP="005B3402">
      <w:pPr>
        <w:pStyle w:val="Heading3"/>
      </w:pPr>
      <w:r>
        <w:t xml:space="preserve">Regression </w:t>
      </w:r>
    </w:p>
    <w:p w14:paraId="4FD8C38E" w14:textId="69A1CD0A" w:rsidR="00E53801" w:rsidRPr="00E53801" w:rsidRDefault="00E53801" w:rsidP="00E53801">
      <w:r>
        <w:t>Regression results for Model (1) and (2) are given below.</w:t>
      </w:r>
    </w:p>
    <w:p w14:paraId="7A2D70E8" w14:textId="3EE03E25" w:rsidR="007C12D8" w:rsidRPr="007C12D8" w:rsidRDefault="007C12D8" w:rsidP="007C12D8">
      <w:pPr>
        <w:pStyle w:val="Caption"/>
        <w:keepNext/>
        <w:jc w:val="center"/>
        <w:rPr>
          <w:b/>
          <w:bCs/>
          <w:i w:val="0"/>
          <w:iCs w:val="0"/>
          <w:color w:val="000000" w:themeColor="text1"/>
          <w:sz w:val="24"/>
          <w:szCs w:val="24"/>
        </w:rPr>
      </w:pPr>
      <w:r w:rsidRPr="007C12D8">
        <w:rPr>
          <w:b/>
          <w:bCs/>
          <w:i w:val="0"/>
          <w:iCs w:val="0"/>
          <w:color w:val="000000" w:themeColor="text1"/>
          <w:sz w:val="24"/>
          <w:szCs w:val="24"/>
        </w:rPr>
        <w:lastRenderedPageBreak/>
        <w:t xml:space="preserve">Table </w:t>
      </w:r>
      <w:r w:rsidRPr="007C12D8">
        <w:rPr>
          <w:b/>
          <w:bCs/>
          <w:i w:val="0"/>
          <w:iCs w:val="0"/>
          <w:color w:val="000000" w:themeColor="text1"/>
          <w:sz w:val="24"/>
          <w:szCs w:val="24"/>
        </w:rPr>
        <w:fldChar w:fldCharType="begin"/>
      </w:r>
      <w:r w:rsidRPr="007C12D8">
        <w:rPr>
          <w:b/>
          <w:bCs/>
          <w:i w:val="0"/>
          <w:iCs w:val="0"/>
          <w:color w:val="000000" w:themeColor="text1"/>
          <w:sz w:val="24"/>
          <w:szCs w:val="24"/>
        </w:rPr>
        <w:instrText xml:space="preserve"> SEQ Table \* ARABIC </w:instrText>
      </w:r>
      <w:r w:rsidRPr="007C12D8">
        <w:rPr>
          <w:b/>
          <w:bCs/>
          <w:i w:val="0"/>
          <w:iCs w:val="0"/>
          <w:color w:val="000000" w:themeColor="text1"/>
          <w:sz w:val="24"/>
          <w:szCs w:val="24"/>
        </w:rPr>
        <w:fldChar w:fldCharType="separate"/>
      </w:r>
      <w:r w:rsidR="00AD3F3F">
        <w:rPr>
          <w:b/>
          <w:bCs/>
          <w:i w:val="0"/>
          <w:iCs w:val="0"/>
          <w:noProof/>
          <w:color w:val="000000" w:themeColor="text1"/>
          <w:sz w:val="24"/>
          <w:szCs w:val="24"/>
        </w:rPr>
        <w:t>8</w:t>
      </w:r>
      <w:r w:rsidRPr="007C12D8">
        <w:rPr>
          <w:b/>
          <w:bCs/>
          <w:i w:val="0"/>
          <w:iCs w:val="0"/>
          <w:color w:val="000000" w:themeColor="text1"/>
          <w:sz w:val="24"/>
          <w:szCs w:val="24"/>
        </w:rPr>
        <w:fldChar w:fldCharType="end"/>
      </w:r>
      <w:r w:rsidRPr="007C12D8">
        <w:rPr>
          <w:b/>
          <w:bCs/>
          <w:i w:val="0"/>
          <w:iCs w:val="0"/>
          <w:color w:val="000000" w:themeColor="text1"/>
          <w:sz w:val="24"/>
          <w:szCs w:val="24"/>
        </w:rPr>
        <w:t>. Random Effects Regression Results for (1),</w:t>
      </w:r>
      <w:r>
        <w:rPr>
          <w:b/>
          <w:bCs/>
          <w:i w:val="0"/>
          <w:iCs w:val="0"/>
          <w:color w:val="000000" w:themeColor="text1"/>
          <w:sz w:val="24"/>
          <w:szCs w:val="24"/>
        </w:rPr>
        <w:t xml:space="preserve"> </w:t>
      </w:r>
      <w:r w:rsidRPr="007C12D8">
        <w:rPr>
          <w:b/>
          <w:bCs/>
          <w:i w:val="0"/>
          <w:iCs w:val="0"/>
          <w:color w:val="000000" w:themeColor="text1"/>
          <w:sz w:val="24"/>
          <w:szCs w:val="24"/>
        </w:rPr>
        <w:t>(2)</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2"/>
        <w:gridCol w:w="1360"/>
        <w:gridCol w:w="1375"/>
      </w:tblGrid>
      <w:tr w:rsidR="00566A41" w:rsidRPr="00566A41" w14:paraId="1521EA37" w14:textId="77777777" w:rsidTr="001B7459">
        <w:trPr>
          <w:tblHeader/>
          <w:tblCellSpacing w:w="15" w:type="dxa"/>
          <w:jc w:val="center"/>
        </w:trPr>
        <w:tc>
          <w:tcPr>
            <w:tcW w:w="0" w:type="auto"/>
            <w:gridSpan w:val="3"/>
            <w:vAlign w:val="center"/>
            <w:hideMark/>
          </w:tcPr>
          <w:p w14:paraId="128861F0" w14:textId="5751627D" w:rsidR="00566A41" w:rsidRPr="009B7ACF" w:rsidRDefault="00AA42F2" w:rsidP="009B7ACF">
            <w:pPr>
              <w:spacing w:line="240" w:lineRule="auto"/>
              <w:jc w:val="center"/>
              <w:rPr>
                <w:b/>
                <w:bCs/>
                <w:lang w:val="tr-TR"/>
              </w:rPr>
            </w:pPr>
            <w:r w:rsidRPr="009B7ACF">
              <w:rPr>
                <w:b/>
                <w:bCs/>
              </w:rPr>
              <w:t>All XELKT Companies</w:t>
            </w:r>
          </w:p>
        </w:tc>
      </w:tr>
      <w:tr w:rsidR="00566A41" w:rsidRPr="00566A41" w14:paraId="161438D1" w14:textId="77777777" w:rsidTr="001B7459">
        <w:trPr>
          <w:tblHeader/>
          <w:tblCellSpacing w:w="15" w:type="dxa"/>
          <w:jc w:val="center"/>
        </w:trPr>
        <w:tc>
          <w:tcPr>
            <w:tcW w:w="0" w:type="auto"/>
            <w:vAlign w:val="center"/>
            <w:hideMark/>
          </w:tcPr>
          <w:p w14:paraId="5122F208" w14:textId="77777777" w:rsidR="00566A41" w:rsidRPr="00566A41" w:rsidRDefault="00566A41" w:rsidP="007F1E7B">
            <w:pPr>
              <w:spacing w:line="240" w:lineRule="auto"/>
            </w:pPr>
          </w:p>
        </w:tc>
        <w:tc>
          <w:tcPr>
            <w:tcW w:w="0" w:type="auto"/>
            <w:gridSpan w:val="2"/>
            <w:vAlign w:val="center"/>
            <w:hideMark/>
          </w:tcPr>
          <w:p w14:paraId="44AC03A2" w14:textId="77777777" w:rsidR="00566A41" w:rsidRPr="00566A41" w:rsidRDefault="00566A41" w:rsidP="007534C7">
            <w:pPr>
              <w:spacing w:line="240" w:lineRule="auto"/>
              <w:jc w:val="center"/>
            </w:pPr>
            <w:r w:rsidRPr="00566A41">
              <w:rPr>
                <w:rStyle w:val="Emphasis"/>
              </w:rPr>
              <w:t>Dependent variable:</w:t>
            </w:r>
          </w:p>
        </w:tc>
      </w:tr>
      <w:tr w:rsidR="00566A41" w:rsidRPr="00566A41" w14:paraId="74704D19" w14:textId="77777777" w:rsidTr="001B7459">
        <w:trPr>
          <w:tblHeader/>
          <w:tblCellSpacing w:w="15" w:type="dxa"/>
          <w:jc w:val="center"/>
        </w:trPr>
        <w:tc>
          <w:tcPr>
            <w:tcW w:w="0" w:type="auto"/>
            <w:vAlign w:val="center"/>
            <w:hideMark/>
          </w:tcPr>
          <w:p w14:paraId="20D47109" w14:textId="77777777" w:rsidR="00566A41" w:rsidRPr="00566A41" w:rsidRDefault="00566A41" w:rsidP="007F1E7B">
            <w:pPr>
              <w:spacing w:line="240" w:lineRule="auto"/>
            </w:pPr>
          </w:p>
        </w:tc>
        <w:tc>
          <w:tcPr>
            <w:tcW w:w="0" w:type="auto"/>
            <w:gridSpan w:val="2"/>
            <w:vAlign w:val="center"/>
            <w:hideMark/>
          </w:tcPr>
          <w:p w14:paraId="11012836" w14:textId="77777777" w:rsidR="00566A41" w:rsidRPr="00566A41" w:rsidRDefault="00566A41" w:rsidP="007534C7">
            <w:pPr>
              <w:spacing w:line="240" w:lineRule="auto"/>
              <w:jc w:val="center"/>
            </w:pPr>
          </w:p>
        </w:tc>
      </w:tr>
      <w:tr w:rsidR="00566A41" w:rsidRPr="00566A41" w14:paraId="723E4A96" w14:textId="77777777" w:rsidTr="001B7459">
        <w:trPr>
          <w:tblHeader/>
          <w:tblCellSpacing w:w="15" w:type="dxa"/>
          <w:jc w:val="center"/>
        </w:trPr>
        <w:tc>
          <w:tcPr>
            <w:tcW w:w="0" w:type="auto"/>
            <w:vAlign w:val="center"/>
            <w:hideMark/>
          </w:tcPr>
          <w:p w14:paraId="134A9BBD" w14:textId="77777777" w:rsidR="00566A41" w:rsidRPr="00566A41" w:rsidRDefault="00566A41" w:rsidP="007F1E7B">
            <w:pPr>
              <w:spacing w:line="240" w:lineRule="auto"/>
            </w:pPr>
          </w:p>
        </w:tc>
        <w:tc>
          <w:tcPr>
            <w:tcW w:w="0" w:type="auto"/>
            <w:gridSpan w:val="2"/>
            <w:vAlign w:val="center"/>
            <w:hideMark/>
          </w:tcPr>
          <w:p w14:paraId="30456B9E" w14:textId="77777777" w:rsidR="00566A41" w:rsidRPr="00566A41" w:rsidRDefault="00566A41" w:rsidP="007534C7">
            <w:pPr>
              <w:spacing w:line="240" w:lineRule="auto"/>
              <w:jc w:val="center"/>
            </w:pPr>
            <w:r w:rsidRPr="00566A41">
              <w:t>ROA</w:t>
            </w:r>
          </w:p>
        </w:tc>
      </w:tr>
      <w:tr w:rsidR="007F1E7B" w:rsidRPr="00566A41" w14:paraId="7EF84C3A" w14:textId="77777777" w:rsidTr="001B7459">
        <w:trPr>
          <w:tblHeader/>
          <w:tblCellSpacing w:w="15" w:type="dxa"/>
          <w:jc w:val="center"/>
        </w:trPr>
        <w:tc>
          <w:tcPr>
            <w:tcW w:w="0" w:type="auto"/>
            <w:vAlign w:val="center"/>
            <w:hideMark/>
          </w:tcPr>
          <w:p w14:paraId="5AC0538D" w14:textId="77777777" w:rsidR="00566A41" w:rsidRPr="00566A41" w:rsidRDefault="00566A41" w:rsidP="007F1E7B">
            <w:pPr>
              <w:spacing w:line="240" w:lineRule="auto"/>
            </w:pPr>
          </w:p>
        </w:tc>
        <w:tc>
          <w:tcPr>
            <w:tcW w:w="0" w:type="auto"/>
            <w:vAlign w:val="center"/>
            <w:hideMark/>
          </w:tcPr>
          <w:p w14:paraId="1F523A31" w14:textId="77777777" w:rsidR="00566A41" w:rsidRPr="00566A41" w:rsidRDefault="00566A41" w:rsidP="007F1E7B">
            <w:pPr>
              <w:spacing w:line="240" w:lineRule="auto"/>
            </w:pPr>
            <w:r w:rsidRPr="00566A41">
              <w:t>(1)</w:t>
            </w:r>
          </w:p>
        </w:tc>
        <w:tc>
          <w:tcPr>
            <w:tcW w:w="0" w:type="auto"/>
            <w:vAlign w:val="center"/>
            <w:hideMark/>
          </w:tcPr>
          <w:p w14:paraId="308F27D8" w14:textId="77777777" w:rsidR="00566A41" w:rsidRPr="00566A41" w:rsidRDefault="00566A41" w:rsidP="007F1E7B">
            <w:pPr>
              <w:spacing w:line="240" w:lineRule="auto"/>
            </w:pPr>
            <w:r w:rsidRPr="00566A41">
              <w:t>(2)</w:t>
            </w:r>
          </w:p>
        </w:tc>
      </w:tr>
      <w:tr w:rsidR="00566A41" w:rsidRPr="00566A41" w14:paraId="5E6572BA" w14:textId="77777777" w:rsidTr="001B7459">
        <w:trPr>
          <w:tblHeader/>
          <w:tblCellSpacing w:w="15" w:type="dxa"/>
          <w:jc w:val="center"/>
        </w:trPr>
        <w:tc>
          <w:tcPr>
            <w:tcW w:w="0" w:type="auto"/>
            <w:gridSpan w:val="3"/>
            <w:vAlign w:val="center"/>
            <w:hideMark/>
          </w:tcPr>
          <w:p w14:paraId="16914735" w14:textId="77777777" w:rsidR="00566A41" w:rsidRPr="00566A41" w:rsidRDefault="00566A41" w:rsidP="007F1E7B">
            <w:pPr>
              <w:spacing w:line="240" w:lineRule="auto"/>
            </w:pPr>
          </w:p>
        </w:tc>
      </w:tr>
      <w:tr w:rsidR="007F1E7B" w:rsidRPr="00566A41" w14:paraId="671D49FF" w14:textId="77777777" w:rsidTr="001B7459">
        <w:trPr>
          <w:tblHeader/>
          <w:tblCellSpacing w:w="15" w:type="dxa"/>
          <w:jc w:val="center"/>
        </w:trPr>
        <w:tc>
          <w:tcPr>
            <w:tcW w:w="0" w:type="auto"/>
            <w:vAlign w:val="center"/>
            <w:hideMark/>
          </w:tcPr>
          <w:p w14:paraId="74EF256E" w14:textId="77777777" w:rsidR="00566A41" w:rsidRPr="00566A41" w:rsidRDefault="00566A41" w:rsidP="007F1E7B">
            <w:pPr>
              <w:spacing w:line="240" w:lineRule="auto"/>
            </w:pPr>
            <w:r w:rsidRPr="00566A41">
              <w:t>ESG</w:t>
            </w:r>
          </w:p>
        </w:tc>
        <w:tc>
          <w:tcPr>
            <w:tcW w:w="0" w:type="auto"/>
            <w:vAlign w:val="center"/>
            <w:hideMark/>
          </w:tcPr>
          <w:p w14:paraId="157BE154" w14:textId="77777777" w:rsidR="00566A41" w:rsidRPr="00566A41" w:rsidRDefault="00566A41" w:rsidP="007F1E7B">
            <w:pPr>
              <w:spacing w:line="240" w:lineRule="auto"/>
            </w:pPr>
            <w:r w:rsidRPr="00566A41">
              <w:t>0.0002</w:t>
            </w:r>
          </w:p>
        </w:tc>
        <w:tc>
          <w:tcPr>
            <w:tcW w:w="0" w:type="auto"/>
            <w:vAlign w:val="center"/>
            <w:hideMark/>
          </w:tcPr>
          <w:p w14:paraId="4C800A70" w14:textId="77777777" w:rsidR="00566A41" w:rsidRPr="00566A41" w:rsidRDefault="00566A41" w:rsidP="007F1E7B">
            <w:pPr>
              <w:spacing w:line="240" w:lineRule="auto"/>
            </w:pPr>
          </w:p>
        </w:tc>
      </w:tr>
      <w:tr w:rsidR="007F1E7B" w:rsidRPr="00566A41" w14:paraId="7608FBD9" w14:textId="77777777" w:rsidTr="001B7459">
        <w:trPr>
          <w:tblHeader/>
          <w:tblCellSpacing w:w="15" w:type="dxa"/>
          <w:jc w:val="center"/>
        </w:trPr>
        <w:tc>
          <w:tcPr>
            <w:tcW w:w="0" w:type="auto"/>
            <w:vAlign w:val="center"/>
            <w:hideMark/>
          </w:tcPr>
          <w:p w14:paraId="69AC9746" w14:textId="77777777" w:rsidR="00566A41" w:rsidRPr="00566A41" w:rsidRDefault="00566A41" w:rsidP="007F1E7B">
            <w:pPr>
              <w:spacing w:line="240" w:lineRule="auto"/>
            </w:pPr>
          </w:p>
        </w:tc>
        <w:tc>
          <w:tcPr>
            <w:tcW w:w="0" w:type="auto"/>
            <w:vAlign w:val="center"/>
            <w:hideMark/>
          </w:tcPr>
          <w:p w14:paraId="1D3437E4" w14:textId="77777777" w:rsidR="00566A41" w:rsidRPr="00566A41" w:rsidRDefault="00566A41" w:rsidP="007F1E7B">
            <w:pPr>
              <w:spacing w:line="240" w:lineRule="auto"/>
            </w:pPr>
            <w:r w:rsidRPr="00566A41">
              <w:t>(0.001)</w:t>
            </w:r>
          </w:p>
        </w:tc>
        <w:tc>
          <w:tcPr>
            <w:tcW w:w="0" w:type="auto"/>
            <w:vAlign w:val="center"/>
            <w:hideMark/>
          </w:tcPr>
          <w:p w14:paraId="7750E909" w14:textId="77777777" w:rsidR="00566A41" w:rsidRPr="00566A41" w:rsidRDefault="00566A41" w:rsidP="007F1E7B">
            <w:pPr>
              <w:spacing w:line="240" w:lineRule="auto"/>
            </w:pPr>
          </w:p>
        </w:tc>
      </w:tr>
      <w:tr w:rsidR="007F1E7B" w:rsidRPr="00566A41" w14:paraId="05F7B676" w14:textId="77777777" w:rsidTr="001B7459">
        <w:trPr>
          <w:tblHeader/>
          <w:tblCellSpacing w:w="15" w:type="dxa"/>
          <w:jc w:val="center"/>
        </w:trPr>
        <w:tc>
          <w:tcPr>
            <w:tcW w:w="0" w:type="auto"/>
            <w:vAlign w:val="center"/>
            <w:hideMark/>
          </w:tcPr>
          <w:p w14:paraId="51B29E28" w14:textId="77777777" w:rsidR="00566A41" w:rsidRPr="00566A41" w:rsidRDefault="00566A41" w:rsidP="007F1E7B">
            <w:pPr>
              <w:spacing w:line="240" w:lineRule="auto"/>
            </w:pPr>
          </w:p>
        </w:tc>
        <w:tc>
          <w:tcPr>
            <w:tcW w:w="0" w:type="auto"/>
            <w:vAlign w:val="center"/>
            <w:hideMark/>
          </w:tcPr>
          <w:p w14:paraId="4C6A34C7" w14:textId="77777777" w:rsidR="00566A41" w:rsidRPr="00566A41" w:rsidRDefault="00566A41" w:rsidP="007F1E7B">
            <w:pPr>
              <w:spacing w:line="240" w:lineRule="auto"/>
            </w:pPr>
          </w:p>
        </w:tc>
        <w:tc>
          <w:tcPr>
            <w:tcW w:w="0" w:type="auto"/>
            <w:vAlign w:val="center"/>
            <w:hideMark/>
          </w:tcPr>
          <w:p w14:paraId="2177A4BD" w14:textId="77777777" w:rsidR="00566A41" w:rsidRPr="00566A41" w:rsidRDefault="00566A41" w:rsidP="007F1E7B">
            <w:pPr>
              <w:spacing w:line="240" w:lineRule="auto"/>
            </w:pPr>
          </w:p>
        </w:tc>
      </w:tr>
      <w:tr w:rsidR="007F1E7B" w:rsidRPr="00566A41" w14:paraId="05DB3BC2" w14:textId="77777777" w:rsidTr="001B7459">
        <w:trPr>
          <w:tblHeader/>
          <w:tblCellSpacing w:w="15" w:type="dxa"/>
          <w:jc w:val="center"/>
        </w:trPr>
        <w:tc>
          <w:tcPr>
            <w:tcW w:w="0" w:type="auto"/>
            <w:vAlign w:val="center"/>
            <w:hideMark/>
          </w:tcPr>
          <w:p w14:paraId="0B1F9181" w14:textId="77777777" w:rsidR="00566A41" w:rsidRPr="00566A41" w:rsidRDefault="00566A41" w:rsidP="007F1E7B">
            <w:pPr>
              <w:spacing w:line="240" w:lineRule="auto"/>
            </w:pPr>
            <w:r w:rsidRPr="00566A41">
              <w:t>E</w:t>
            </w:r>
          </w:p>
        </w:tc>
        <w:tc>
          <w:tcPr>
            <w:tcW w:w="0" w:type="auto"/>
            <w:vAlign w:val="center"/>
            <w:hideMark/>
          </w:tcPr>
          <w:p w14:paraId="551DC406" w14:textId="77777777" w:rsidR="00566A41" w:rsidRPr="00566A41" w:rsidRDefault="00566A41" w:rsidP="007F1E7B">
            <w:pPr>
              <w:spacing w:line="240" w:lineRule="auto"/>
            </w:pPr>
          </w:p>
        </w:tc>
        <w:tc>
          <w:tcPr>
            <w:tcW w:w="0" w:type="auto"/>
            <w:vAlign w:val="center"/>
            <w:hideMark/>
          </w:tcPr>
          <w:p w14:paraId="71F602ED" w14:textId="77777777" w:rsidR="00566A41" w:rsidRPr="00566A41" w:rsidRDefault="00566A41" w:rsidP="007F1E7B">
            <w:pPr>
              <w:spacing w:line="240" w:lineRule="auto"/>
            </w:pPr>
            <w:r w:rsidRPr="00566A41">
              <w:t>-0.001</w:t>
            </w:r>
          </w:p>
        </w:tc>
      </w:tr>
      <w:tr w:rsidR="007F1E7B" w:rsidRPr="00566A41" w14:paraId="6872DC37" w14:textId="77777777" w:rsidTr="001B7459">
        <w:trPr>
          <w:tblHeader/>
          <w:tblCellSpacing w:w="15" w:type="dxa"/>
          <w:jc w:val="center"/>
        </w:trPr>
        <w:tc>
          <w:tcPr>
            <w:tcW w:w="0" w:type="auto"/>
            <w:vAlign w:val="center"/>
            <w:hideMark/>
          </w:tcPr>
          <w:p w14:paraId="4690261E" w14:textId="77777777" w:rsidR="00566A41" w:rsidRPr="00566A41" w:rsidRDefault="00566A41" w:rsidP="007F1E7B">
            <w:pPr>
              <w:spacing w:line="240" w:lineRule="auto"/>
            </w:pPr>
          </w:p>
        </w:tc>
        <w:tc>
          <w:tcPr>
            <w:tcW w:w="0" w:type="auto"/>
            <w:vAlign w:val="center"/>
            <w:hideMark/>
          </w:tcPr>
          <w:p w14:paraId="23131FEC" w14:textId="77777777" w:rsidR="00566A41" w:rsidRPr="00566A41" w:rsidRDefault="00566A41" w:rsidP="007F1E7B">
            <w:pPr>
              <w:spacing w:line="240" w:lineRule="auto"/>
            </w:pPr>
          </w:p>
        </w:tc>
        <w:tc>
          <w:tcPr>
            <w:tcW w:w="0" w:type="auto"/>
            <w:vAlign w:val="center"/>
            <w:hideMark/>
          </w:tcPr>
          <w:p w14:paraId="2FBC5E1A" w14:textId="77777777" w:rsidR="00566A41" w:rsidRPr="00566A41" w:rsidRDefault="00566A41" w:rsidP="007F1E7B">
            <w:pPr>
              <w:spacing w:line="240" w:lineRule="auto"/>
            </w:pPr>
            <w:r w:rsidRPr="00566A41">
              <w:t>(0.001)</w:t>
            </w:r>
          </w:p>
        </w:tc>
      </w:tr>
      <w:tr w:rsidR="007F1E7B" w:rsidRPr="00566A41" w14:paraId="23FC12A6" w14:textId="77777777" w:rsidTr="001B7459">
        <w:trPr>
          <w:tblHeader/>
          <w:tblCellSpacing w:w="15" w:type="dxa"/>
          <w:jc w:val="center"/>
        </w:trPr>
        <w:tc>
          <w:tcPr>
            <w:tcW w:w="0" w:type="auto"/>
            <w:vAlign w:val="center"/>
            <w:hideMark/>
          </w:tcPr>
          <w:p w14:paraId="197722D8" w14:textId="77777777" w:rsidR="00566A41" w:rsidRPr="00566A41" w:rsidRDefault="00566A41" w:rsidP="007F1E7B">
            <w:pPr>
              <w:spacing w:line="240" w:lineRule="auto"/>
            </w:pPr>
          </w:p>
        </w:tc>
        <w:tc>
          <w:tcPr>
            <w:tcW w:w="0" w:type="auto"/>
            <w:vAlign w:val="center"/>
            <w:hideMark/>
          </w:tcPr>
          <w:p w14:paraId="0A806B6C" w14:textId="77777777" w:rsidR="00566A41" w:rsidRPr="00566A41" w:rsidRDefault="00566A41" w:rsidP="007F1E7B">
            <w:pPr>
              <w:spacing w:line="240" w:lineRule="auto"/>
            </w:pPr>
          </w:p>
        </w:tc>
        <w:tc>
          <w:tcPr>
            <w:tcW w:w="0" w:type="auto"/>
            <w:vAlign w:val="center"/>
            <w:hideMark/>
          </w:tcPr>
          <w:p w14:paraId="7BA5D57D" w14:textId="77777777" w:rsidR="00566A41" w:rsidRPr="00566A41" w:rsidRDefault="00566A41" w:rsidP="007F1E7B">
            <w:pPr>
              <w:spacing w:line="240" w:lineRule="auto"/>
            </w:pPr>
          </w:p>
        </w:tc>
      </w:tr>
      <w:tr w:rsidR="007F1E7B" w:rsidRPr="00566A41" w14:paraId="1FD39234" w14:textId="77777777" w:rsidTr="001B7459">
        <w:trPr>
          <w:tblHeader/>
          <w:tblCellSpacing w:w="15" w:type="dxa"/>
          <w:jc w:val="center"/>
        </w:trPr>
        <w:tc>
          <w:tcPr>
            <w:tcW w:w="0" w:type="auto"/>
            <w:vAlign w:val="center"/>
            <w:hideMark/>
          </w:tcPr>
          <w:p w14:paraId="1864360F" w14:textId="77777777" w:rsidR="00566A41" w:rsidRPr="00566A41" w:rsidRDefault="00566A41" w:rsidP="007F1E7B">
            <w:pPr>
              <w:spacing w:line="240" w:lineRule="auto"/>
            </w:pPr>
            <w:r w:rsidRPr="00566A41">
              <w:t>S</w:t>
            </w:r>
          </w:p>
        </w:tc>
        <w:tc>
          <w:tcPr>
            <w:tcW w:w="0" w:type="auto"/>
            <w:vAlign w:val="center"/>
            <w:hideMark/>
          </w:tcPr>
          <w:p w14:paraId="577AA96D" w14:textId="77777777" w:rsidR="00566A41" w:rsidRPr="00566A41" w:rsidRDefault="00566A41" w:rsidP="007F1E7B">
            <w:pPr>
              <w:spacing w:line="240" w:lineRule="auto"/>
            </w:pPr>
          </w:p>
        </w:tc>
        <w:tc>
          <w:tcPr>
            <w:tcW w:w="0" w:type="auto"/>
            <w:vAlign w:val="center"/>
            <w:hideMark/>
          </w:tcPr>
          <w:p w14:paraId="17C29B7C" w14:textId="77777777" w:rsidR="00566A41" w:rsidRPr="00566A41" w:rsidRDefault="00566A41" w:rsidP="007F1E7B">
            <w:pPr>
              <w:spacing w:line="240" w:lineRule="auto"/>
            </w:pPr>
            <w:r w:rsidRPr="00566A41">
              <w:t>0.001</w:t>
            </w:r>
          </w:p>
        </w:tc>
      </w:tr>
      <w:tr w:rsidR="007F1E7B" w:rsidRPr="00566A41" w14:paraId="2B2E31E6" w14:textId="77777777" w:rsidTr="001B7459">
        <w:trPr>
          <w:tblHeader/>
          <w:tblCellSpacing w:w="15" w:type="dxa"/>
          <w:jc w:val="center"/>
        </w:trPr>
        <w:tc>
          <w:tcPr>
            <w:tcW w:w="0" w:type="auto"/>
            <w:vAlign w:val="center"/>
            <w:hideMark/>
          </w:tcPr>
          <w:p w14:paraId="129CAA89" w14:textId="77777777" w:rsidR="00566A41" w:rsidRPr="00566A41" w:rsidRDefault="00566A41" w:rsidP="007F1E7B">
            <w:pPr>
              <w:spacing w:line="240" w:lineRule="auto"/>
            </w:pPr>
          </w:p>
        </w:tc>
        <w:tc>
          <w:tcPr>
            <w:tcW w:w="0" w:type="auto"/>
            <w:vAlign w:val="center"/>
            <w:hideMark/>
          </w:tcPr>
          <w:p w14:paraId="1F4714DA" w14:textId="77777777" w:rsidR="00566A41" w:rsidRPr="00566A41" w:rsidRDefault="00566A41" w:rsidP="007F1E7B">
            <w:pPr>
              <w:spacing w:line="240" w:lineRule="auto"/>
            </w:pPr>
          </w:p>
        </w:tc>
        <w:tc>
          <w:tcPr>
            <w:tcW w:w="0" w:type="auto"/>
            <w:vAlign w:val="center"/>
            <w:hideMark/>
          </w:tcPr>
          <w:p w14:paraId="04F7A2D3" w14:textId="77777777" w:rsidR="00566A41" w:rsidRPr="00566A41" w:rsidRDefault="00566A41" w:rsidP="007F1E7B">
            <w:pPr>
              <w:spacing w:line="240" w:lineRule="auto"/>
            </w:pPr>
            <w:r w:rsidRPr="00566A41">
              <w:t>(0.002)</w:t>
            </w:r>
          </w:p>
        </w:tc>
      </w:tr>
      <w:tr w:rsidR="007F1E7B" w:rsidRPr="00566A41" w14:paraId="1FC8640E" w14:textId="77777777" w:rsidTr="001B7459">
        <w:trPr>
          <w:tblHeader/>
          <w:tblCellSpacing w:w="15" w:type="dxa"/>
          <w:jc w:val="center"/>
        </w:trPr>
        <w:tc>
          <w:tcPr>
            <w:tcW w:w="0" w:type="auto"/>
            <w:vAlign w:val="center"/>
            <w:hideMark/>
          </w:tcPr>
          <w:p w14:paraId="263D15B4" w14:textId="77777777" w:rsidR="00566A41" w:rsidRPr="00566A41" w:rsidRDefault="00566A41" w:rsidP="007F1E7B">
            <w:pPr>
              <w:spacing w:line="240" w:lineRule="auto"/>
            </w:pPr>
          </w:p>
        </w:tc>
        <w:tc>
          <w:tcPr>
            <w:tcW w:w="0" w:type="auto"/>
            <w:vAlign w:val="center"/>
            <w:hideMark/>
          </w:tcPr>
          <w:p w14:paraId="1076695E" w14:textId="77777777" w:rsidR="00566A41" w:rsidRPr="00566A41" w:rsidRDefault="00566A41" w:rsidP="007F1E7B">
            <w:pPr>
              <w:spacing w:line="240" w:lineRule="auto"/>
            </w:pPr>
          </w:p>
        </w:tc>
        <w:tc>
          <w:tcPr>
            <w:tcW w:w="0" w:type="auto"/>
            <w:vAlign w:val="center"/>
            <w:hideMark/>
          </w:tcPr>
          <w:p w14:paraId="29B4FFDC" w14:textId="77777777" w:rsidR="00566A41" w:rsidRPr="00566A41" w:rsidRDefault="00566A41" w:rsidP="007F1E7B">
            <w:pPr>
              <w:spacing w:line="240" w:lineRule="auto"/>
            </w:pPr>
          </w:p>
        </w:tc>
      </w:tr>
      <w:tr w:rsidR="007F1E7B" w:rsidRPr="00566A41" w14:paraId="35BA7B9D" w14:textId="77777777" w:rsidTr="001B7459">
        <w:trPr>
          <w:tblHeader/>
          <w:tblCellSpacing w:w="15" w:type="dxa"/>
          <w:jc w:val="center"/>
        </w:trPr>
        <w:tc>
          <w:tcPr>
            <w:tcW w:w="0" w:type="auto"/>
            <w:vAlign w:val="center"/>
            <w:hideMark/>
          </w:tcPr>
          <w:p w14:paraId="65B32B59" w14:textId="77777777" w:rsidR="00566A41" w:rsidRPr="00566A41" w:rsidRDefault="00566A41" w:rsidP="007F1E7B">
            <w:pPr>
              <w:spacing w:line="240" w:lineRule="auto"/>
            </w:pPr>
            <w:r w:rsidRPr="00566A41">
              <w:t>G</w:t>
            </w:r>
          </w:p>
        </w:tc>
        <w:tc>
          <w:tcPr>
            <w:tcW w:w="0" w:type="auto"/>
            <w:vAlign w:val="center"/>
            <w:hideMark/>
          </w:tcPr>
          <w:p w14:paraId="2592F35D" w14:textId="77777777" w:rsidR="00566A41" w:rsidRPr="00566A41" w:rsidRDefault="00566A41" w:rsidP="007F1E7B">
            <w:pPr>
              <w:spacing w:line="240" w:lineRule="auto"/>
            </w:pPr>
          </w:p>
        </w:tc>
        <w:tc>
          <w:tcPr>
            <w:tcW w:w="0" w:type="auto"/>
            <w:vAlign w:val="center"/>
            <w:hideMark/>
          </w:tcPr>
          <w:p w14:paraId="118EFE32" w14:textId="77777777" w:rsidR="00566A41" w:rsidRPr="00566A41" w:rsidRDefault="00566A41" w:rsidP="007F1E7B">
            <w:pPr>
              <w:spacing w:line="240" w:lineRule="auto"/>
            </w:pPr>
            <w:r w:rsidRPr="00566A41">
              <w:t>0.001</w:t>
            </w:r>
          </w:p>
        </w:tc>
      </w:tr>
      <w:tr w:rsidR="007F1E7B" w:rsidRPr="00566A41" w14:paraId="097F8E39" w14:textId="77777777" w:rsidTr="001B7459">
        <w:trPr>
          <w:tblHeader/>
          <w:tblCellSpacing w:w="15" w:type="dxa"/>
          <w:jc w:val="center"/>
        </w:trPr>
        <w:tc>
          <w:tcPr>
            <w:tcW w:w="0" w:type="auto"/>
            <w:vAlign w:val="center"/>
            <w:hideMark/>
          </w:tcPr>
          <w:p w14:paraId="4E24F965" w14:textId="77777777" w:rsidR="00566A41" w:rsidRPr="00566A41" w:rsidRDefault="00566A41" w:rsidP="007F1E7B">
            <w:pPr>
              <w:spacing w:line="240" w:lineRule="auto"/>
            </w:pPr>
          </w:p>
        </w:tc>
        <w:tc>
          <w:tcPr>
            <w:tcW w:w="0" w:type="auto"/>
            <w:vAlign w:val="center"/>
            <w:hideMark/>
          </w:tcPr>
          <w:p w14:paraId="7B807CD7" w14:textId="77777777" w:rsidR="00566A41" w:rsidRPr="00566A41" w:rsidRDefault="00566A41" w:rsidP="007F1E7B">
            <w:pPr>
              <w:spacing w:line="240" w:lineRule="auto"/>
            </w:pPr>
          </w:p>
        </w:tc>
        <w:tc>
          <w:tcPr>
            <w:tcW w:w="0" w:type="auto"/>
            <w:vAlign w:val="center"/>
            <w:hideMark/>
          </w:tcPr>
          <w:p w14:paraId="0B424C8E" w14:textId="77777777" w:rsidR="00566A41" w:rsidRPr="00566A41" w:rsidRDefault="00566A41" w:rsidP="007F1E7B">
            <w:pPr>
              <w:spacing w:line="240" w:lineRule="auto"/>
            </w:pPr>
            <w:r w:rsidRPr="00566A41">
              <w:t>(0.001)</w:t>
            </w:r>
          </w:p>
        </w:tc>
      </w:tr>
      <w:tr w:rsidR="007F1E7B" w:rsidRPr="00566A41" w14:paraId="1325AD18" w14:textId="77777777" w:rsidTr="001B7459">
        <w:trPr>
          <w:tblHeader/>
          <w:tblCellSpacing w:w="15" w:type="dxa"/>
          <w:jc w:val="center"/>
        </w:trPr>
        <w:tc>
          <w:tcPr>
            <w:tcW w:w="0" w:type="auto"/>
            <w:vAlign w:val="center"/>
            <w:hideMark/>
          </w:tcPr>
          <w:p w14:paraId="7D7FE1BE" w14:textId="77777777" w:rsidR="00566A41" w:rsidRPr="00566A41" w:rsidRDefault="00566A41" w:rsidP="007F1E7B">
            <w:pPr>
              <w:spacing w:line="240" w:lineRule="auto"/>
            </w:pPr>
          </w:p>
        </w:tc>
        <w:tc>
          <w:tcPr>
            <w:tcW w:w="0" w:type="auto"/>
            <w:vAlign w:val="center"/>
            <w:hideMark/>
          </w:tcPr>
          <w:p w14:paraId="2E042957" w14:textId="77777777" w:rsidR="00566A41" w:rsidRPr="00566A41" w:rsidRDefault="00566A41" w:rsidP="007F1E7B">
            <w:pPr>
              <w:spacing w:line="240" w:lineRule="auto"/>
            </w:pPr>
          </w:p>
        </w:tc>
        <w:tc>
          <w:tcPr>
            <w:tcW w:w="0" w:type="auto"/>
            <w:vAlign w:val="center"/>
            <w:hideMark/>
          </w:tcPr>
          <w:p w14:paraId="70B2B70F" w14:textId="77777777" w:rsidR="00566A41" w:rsidRPr="00566A41" w:rsidRDefault="00566A41" w:rsidP="007F1E7B">
            <w:pPr>
              <w:spacing w:line="240" w:lineRule="auto"/>
            </w:pPr>
          </w:p>
        </w:tc>
      </w:tr>
      <w:tr w:rsidR="007F1E7B" w:rsidRPr="00566A41" w14:paraId="177B3CA8" w14:textId="77777777" w:rsidTr="001B7459">
        <w:trPr>
          <w:tblHeader/>
          <w:tblCellSpacing w:w="15" w:type="dxa"/>
          <w:jc w:val="center"/>
        </w:trPr>
        <w:tc>
          <w:tcPr>
            <w:tcW w:w="0" w:type="auto"/>
            <w:vAlign w:val="center"/>
            <w:hideMark/>
          </w:tcPr>
          <w:p w14:paraId="276E21E6" w14:textId="77777777" w:rsidR="00566A41" w:rsidRPr="00566A41" w:rsidRDefault="00566A41" w:rsidP="007F1E7B">
            <w:pPr>
              <w:spacing w:line="240" w:lineRule="auto"/>
            </w:pPr>
            <w:r w:rsidRPr="00566A41">
              <w:t>XUSRD</w:t>
            </w:r>
          </w:p>
        </w:tc>
        <w:tc>
          <w:tcPr>
            <w:tcW w:w="0" w:type="auto"/>
            <w:vAlign w:val="center"/>
            <w:hideMark/>
          </w:tcPr>
          <w:p w14:paraId="47174687" w14:textId="77777777" w:rsidR="00566A41" w:rsidRPr="00566A41" w:rsidRDefault="00566A41" w:rsidP="007F1E7B">
            <w:pPr>
              <w:spacing w:line="240" w:lineRule="auto"/>
            </w:pPr>
            <w:r w:rsidRPr="00566A41">
              <w:t>-0.053</w:t>
            </w:r>
          </w:p>
        </w:tc>
        <w:tc>
          <w:tcPr>
            <w:tcW w:w="0" w:type="auto"/>
            <w:vAlign w:val="center"/>
            <w:hideMark/>
          </w:tcPr>
          <w:p w14:paraId="62F977F1" w14:textId="77777777" w:rsidR="00566A41" w:rsidRPr="00566A41" w:rsidRDefault="00566A41" w:rsidP="007F1E7B">
            <w:pPr>
              <w:spacing w:line="240" w:lineRule="auto"/>
            </w:pPr>
            <w:r w:rsidRPr="00566A41">
              <w:t>-0.047</w:t>
            </w:r>
          </w:p>
        </w:tc>
      </w:tr>
      <w:tr w:rsidR="007F1E7B" w:rsidRPr="00566A41" w14:paraId="47C7AFA2" w14:textId="77777777" w:rsidTr="001B7459">
        <w:trPr>
          <w:tblHeader/>
          <w:tblCellSpacing w:w="15" w:type="dxa"/>
          <w:jc w:val="center"/>
        </w:trPr>
        <w:tc>
          <w:tcPr>
            <w:tcW w:w="0" w:type="auto"/>
            <w:vAlign w:val="center"/>
            <w:hideMark/>
          </w:tcPr>
          <w:p w14:paraId="6DD2C648" w14:textId="77777777" w:rsidR="00566A41" w:rsidRPr="00566A41" w:rsidRDefault="00566A41" w:rsidP="007F1E7B">
            <w:pPr>
              <w:spacing w:line="240" w:lineRule="auto"/>
            </w:pPr>
          </w:p>
        </w:tc>
        <w:tc>
          <w:tcPr>
            <w:tcW w:w="0" w:type="auto"/>
            <w:vAlign w:val="center"/>
            <w:hideMark/>
          </w:tcPr>
          <w:p w14:paraId="4A0D9C69" w14:textId="77777777" w:rsidR="00566A41" w:rsidRPr="00566A41" w:rsidRDefault="00566A41" w:rsidP="007F1E7B">
            <w:pPr>
              <w:spacing w:line="240" w:lineRule="auto"/>
            </w:pPr>
            <w:r w:rsidRPr="00566A41">
              <w:t>(0.042)</w:t>
            </w:r>
          </w:p>
        </w:tc>
        <w:tc>
          <w:tcPr>
            <w:tcW w:w="0" w:type="auto"/>
            <w:vAlign w:val="center"/>
            <w:hideMark/>
          </w:tcPr>
          <w:p w14:paraId="0736437C" w14:textId="77777777" w:rsidR="00566A41" w:rsidRPr="00566A41" w:rsidRDefault="00566A41" w:rsidP="007F1E7B">
            <w:pPr>
              <w:spacing w:line="240" w:lineRule="auto"/>
            </w:pPr>
            <w:r w:rsidRPr="00566A41">
              <w:t>(0.042)</w:t>
            </w:r>
          </w:p>
        </w:tc>
      </w:tr>
      <w:tr w:rsidR="007F1E7B" w:rsidRPr="00566A41" w14:paraId="6051556E" w14:textId="77777777" w:rsidTr="001B7459">
        <w:trPr>
          <w:tblHeader/>
          <w:tblCellSpacing w:w="15" w:type="dxa"/>
          <w:jc w:val="center"/>
        </w:trPr>
        <w:tc>
          <w:tcPr>
            <w:tcW w:w="0" w:type="auto"/>
            <w:vAlign w:val="center"/>
            <w:hideMark/>
          </w:tcPr>
          <w:p w14:paraId="52A9AD8C" w14:textId="77777777" w:rsidR="00566A41" w:rsidRPr="00566A41" w:rsidRDefault="00566A41" w:rsidP="007F1E7B">
            <w:pPr>
              <w:spacing w:line="240" w:lineRule="auto"/>
            </w:pPr>
          </w:p>
        </w:tc>
        <w:tc>
          <w:tcPr>
            <w:tcW w:w="0" w:type="auto"/>
            <w:vAlign w:val="center"/>
            <w:hideMark/>
          </w:tcPr>
          <w:p w14:paraId="5273A994" w14:textId="77777777" w:rsidR="00566A41" w:rsidRPr="00566A41" w:rsidRDefault="00566A41" w:rsidP="007F1E7B">
            <w:pPr>
              <w:spacing w:line="240" w:lineRule="auto"/>
            </w:pPr>
          </w:p>
        </w:tc>
        <w:tc>
          <w:tcPr>
            <w:tcW w:w="0" w:type="auto"/>
            <w:vAlign w:val="center"/>
            <w:hideMark/>
          </w:tcPr>
          <w:p w14:paraId="3A3D64D0" w14:textId="77777777" w:rsidR="00566A41" w:rsidRPr="00566A41" w:rsidRDefault="00566A41" w:rsidP="007F1E7B">
            <w:pPr>
              <w:spacing w:line="240" w:lineRule="auto"/>
            </w:pPr>
          </w:p>
        </w:tc>
      </w:tr>
      <w:tr w:rsidR="007F1E7B" w:rsidRPr="00566A41" w14:paraId="26CA263C" w14:textId="77777777" w:rsidTr="001B7459">
        <w:trPr>
          <w:tblHeader/>
          <w:tblCellSpacing w:w="15" w:type="dxa"/>
          <w:jc w:val="center"/>
        </w:trPr>
        <w:tc>
          <w:tcPr>
            <w:tcW w:w="0" w:type="auto"/>
            <w:vAlign w:val="center"/>
            <w:hideMark/>
          </w:tcPr>
          <w:p w14:paraId="2B473CF2" w14:textId="77777777" w:rsidR="00566A41" w:rsidRPr="00566A41" w:rsidRDefault="00566A41" w:rsidP="007F1E7B">
            <w:pPr>
              <w:spacing w:line="240" w:lineRule="auto"/>
            </w:pPr>
            <w:r w:rsidRPr="00566A41">
              <w:t>MRE</w:t>
            </w:r>
          </w:p>
        </w:tc>
        <w:tc>
          <w:tcPr>
            <w:tcW w:w="0" w:type="auto"/>
            <w:vAlign w:val="center"/>
            <w:hideMark/>
          </w:tcPr>
          <w:p w14:paraId="66F9DD8A" w14:textId="77777777" w:rsidR="00566A41" w:rsidRPr="00566A41" w:rsidRDefault="00566A41" w:rsidP="007F1E7B">
            <w:pPr>
              <w:spacing w:line="240" w:lineRule="auto"/>
            </w:pPr>
            <w:r w:rsidRPr="00566A41">
              <w:t>0.064</w:t>
            </w:r>
            <w:r w:rsidRPr="00566A41">
              <w:rPr>
                <w:vertAlign w:val="superscript"/>
              </w:rPr>
              <w:t>***</w:t>
            </w:r>
          </w:p>
        </w:tc>
        <w:tc>
          <w:tcPr>
            <w:tcW w:w="0" w:type="auto"/>
            <w:vAlign w:val="center"/>
            <w:hideMark/>
          </w:tcPr>
          <w:p w14:paraId="1AB4D7DE" w14:textId="77777777" w:rsidR="00566A41" w:rsidRPr="00566A41" w:rsidRDefault="00566A41" w:rsidP="007F1E7B">
            <w:pPr>
              <w:spacing w:line="240" w:lineRule="auto"/>
            </w:pPr>
            <w:r w:rsidRPr="00566A41">
              <w:t>0.065</w:t>
            </w:r>
            <w:r w:rsidRPr="00566A41">
              <w:rPr>
                <w:vertAlign w:val="superscript"/>
              </w:rPr>
              <w:t>***</w:t>
            </w:r>
          </w:p>
        </w:tc>
      </w:tr>
      <w:tr w:rsidR="007F1E7B" w:rsidRPr="00566A41" w14:paraId="273652EB" w14:textId="77777777" w:rsidTr="001B7459">
        <w:trPr>
          <w:tblHeader/>
          <w:tblCellSpacing w:w="15" w:type="dxa"/>
          <w:jc w:val="center"/>
        </w:trPr>
        <w:tc>
          <w:tcPr>
            <w:tcW w:w="0" w:type="auto"/>
            <w:vAlign w:val="center"/>
            <w:hideMark/>
          </w:tcPr>
          <w:p w14:paraId="34298352" w14:textId="77777777" w:rsidR="00566A41" w:rsidRPr="00566A41" w:rsidRDefault="00566A41" w:rsidP="007F1E7B">
            <w:pPr>
              <w:spacing w:line="240" w:lineRule="auto"/>
            </w:pPr>
          </w:p>
        </w:tc>
        <w:tc>
          <w:tcPr>
            <w:tcW w:w="0" w:type="auto"/>
            <w:vAlign w:val="center"/>
            <w:hideMark/>
          </w:tcPr>
          <w:p w14:paraId="379FAB1E" w14:textId="77777777" w:rsidR="00566A41" w:rsidRPr="00566A41" w:rsidRDefault="00566A41" w:rsidP="007F1E7B">
            <w:pPr>
              <w:spacing w:line="240" w:lineRule="auto"/>
            </w:pPr>
            <w:r w:rsidRPr="00566A41">
              <w:t>(0.018)</w:t>
            </w:r>
          </w:p>
        </w:tc>
        <w:tc>
          <w:tcPr>
            <w:tcW w:w="0" w:type="auto"/>
            <w:vAlign w:val="center"/>
            <w:hideMark/>
          </w:tcPr>
          <w:p w14:paraId="03747EEF" w14:textId="77777777" w:rsidR="00566A41" w:rsidRPr="00566A41" w:rsidRDefault="00566A41" w:rsidP="007F1E7B">
            <w:pPr>
              <w:spacing w:line="240" w:lineRule="auto"/>
            </w:pPr>
            <w:r w:rsidRPr="00566A41">
              <w:t>(0.019)</w:t>
            </w:r>
          </w:p>
        </w:tc>
      </w:tr>
      <w:tr w:rsidR="007F1E7B" w:rsidRPr="00566A41" w14:paraId="1DECB1FF" w14:textId="77777777" w:rsidTr="001B7459">
        <w:trPr>
          <w:tblHeader/>
          <w:tblCellSpacing w:w="15" w:type="dxa"/>
          <w:jc w:val="center"/>
        </w:trPr>
        <w:tc>
          <w:tcPr>
            <w:tcW w:w="0" w:type="auto"/>
            <w:vAlign w:val="center"/>
            <w:hideMark/>
          </w:tcPr>
          <w:p w14:paraId="6A17CEC5" w14:textId="77777777" w:rsidR="00566A41" w:rsidRPr="00566A41" w:rsidRDefault="00566A41" w:rsidP="007F1E7B">
            <w:pPr>
              <w:spacing w:line="240" w:lineRule="auto"/>
            </w:pPr>
          </w:p>
        </w:tc>
        <w:tc>
          <w:tcPr>
            <w:tcW w:w="0" w:type="auto"/>
            <w:vAlign w:val="center"/>
            <w:hideMark/>
          </w:tcPr>
          <w:p w14:paraId="2E644DC2" w14:textId="77777777" w:rsidR="00566A41" w:rsidRPr="00566A41" w:rsidRDefault="00566A41" w:rsidP="007F1E7B">
            <w:pPr>
              <w:spacing w:line="240" w:lineRule="auto"/>
            </w:pPr>
          </w:p>
        </w:tc>
        <w:tc>
          <w:tcPr>
            <w:tcW w:w="0" w:type="auto"/>
            <w:vAlign w:val="center"/>
            <w:hideMark/>
          </w:tcPr>
          <w:p w14:paraId="5907DE6C" w14:textId="77777777" w:rsidR="00566A41" w:rsidRPr="00566A41" w:rsidRDefault="00566A41" w:rsidP="007F1E7B">
            <w:pPr>
              <w:spacing w:line="240" w:lineRule="auto"/>
            </w:pPr>
          </w:p>
        </w:tc>
      </w:tr>
      <w:tr w:rsidR="007F1E7B" w:rsidRPr="00566A41" w14:paraId="7F60B199" w14:textId="77777777" w:rsidTr="001B7459">
        <w:trPr>
          <w:tblHeader/>
          <w:tblCellSpacing w:w="15" w:type="dxa"/>
          <w:jc w:val="center"/>
        </w:trPr>
        <w:tc>
          <w:tcPr>
            <w:tcW w:w="0" w:type="auto"/>
            <w:vAlign w:val="center"/>
            <w:hideMark/>
          </w:tcPr>
          <w:p w14:paraId="1C755888" w14:textId="77777777" w:rsidR="00566A41" w:rsidRPr="00566A41" w:rsidRDefault="00566A41" w:rsidP="007F1E7B">
            <w:pPr>
              <w:spacing w:line="240" w:lineRule="auto"/>
            </w:pPr>
            <w:r w:rsidRPr="00566A41">
              <w:t>SUB</w:t>
            </w:r>
          </w:p>
        </w:tc>
        <w:tc>
          <w:tcPr>
            <w:tcW w:w="0" w:type="auto"/>
            <w:vAlign w:val="center"/>
            <w:hideMark/>
          </w:tcPr>
          <w:p w14:paraId="5CD22B87" w14:textId="77777777" w:rsidR="00566A41" w:rsidRPr="00566A41" w:rsidRDefault="00566A41" w:rsidP="007F1E7B">
            <w:pPr>
              <w:spacing w:line="240" w:lineRule="auto"/>
            </w:pPr>
            <w:r w:rsidRPr="00566A41">
              <w:t>0.009</w:t>
            </w:r>
          </w:p>
        </w:tc>
        <w:tc>
          <w:tcPr>
            <w:tcW w:w="0" w:type="auto"/>
            <w:vAlign w:val="center"/>
            <w:hideMark/>
          </w:tcPr>
          <w:p w14:paraId="05DCB6E2" w14:textId="77777777" w:rsidR="00566A41" w:rsidRPr="00566A41" w:rsidRDefault="00566A41" w:rsidP="007F1E7B">
            <w:pPr>
              <w:spacing w:line="240" w:lineRule="auto"/>
            </w:pPr>
            <w:r w:rsidRPr="00566A41">
              <w:t>0.010</w:t>
            </w:r>
          </w:p>
        </w:tc>
      </w:tr>
      <w:tr w:rsidR="007F1E7B" w:rsidRPr="00566A41" w14:paraId="42A55361" w14:textId="77777777" w:rsidTr="001B7459">
        <w:trPr>
          <w:tblHeader/>
          <w:tblCellSpacing w:w="15" w:type="dxa"/>
          <w:jc w:val="center"/>
        </w:trPr>
        <w:tc>
          <w:tcPr>
            <w:tcW w:w="0" w:type="auto"/>
            <w:vAlign w:val="center"/>
            <w:hideMark/>
          </w:tcPr>
          <w:p w14:paraId="3B8A2EF2" w14:textId="77777777" w:rsidR="00566A41" w:rsidRPr="00566A41" w:rsidRDefault="00566A41" w:rsidP="007F1E7B">
            <w:pPr>
              <w:spacing w:line="240" w:lineRule="auto"/>
            </w:pPr>
          </w:p>
        </w:tc>
        <w:tc>
          <w:tcPr>
            <w:tcW w:w="0" w:type="auto"/>
            <w:vAlign w:val="center"/>
            <w:hideMark/>
          </w:tcPr>
          <w:p w14:paraId="3F37D733" w14:textId="77777777" w:rsidR="00566A41" w:rsidRPr="00566A41" w:rsidRDefault="00566A41" w:rsidP="007F1E7B">
            <w:pPr>
              <w:spacing w:line="240" w:lineRule="auto"/>
            </w:pPr>
            <w:r w:rsidRPr="00566A41">
              <w:t>(0.011)</w:t>
            </w:r>
          </w:p>
        </w:tc>
        <w:tc>
          <w:tcPr>
            <w:tcW w:w="0" w:type="auto"/>
            <w:vAlign w:val="center"/>
            <w:hideMark/>
          </w:tcPr>
          <w:p w14:paraId="5C479ED6" w14:textId="77777777" w:rsidR="00566A41" w:rsidRPr="00566A41" w:rsidRDefault="00566A41" w:rsidP="007F1E7B">
            <w:pPr>
              <w:spacing w:line="240" w:lineRule="auto"/>
            </w:pPr>
            <w:r w:rsidRPr="00566A41">
              <w:t>(0.011)</w:t>
            </w:r>
          </w:p>
        </w:tc>
      </w:tr>
      <w:tr w:rsidR="007F1E7B" w:rsidRPr="00566A41" w14:paraId="21530D33" w14:textId="77777777" w:rsidTr="001B7459">
        <w:trPr>
          <w:tblHeader/>
          <w:tblCellSpacing w:w="15" w:type="dxa"/>
          <w:jc w:val="center"/>
        </w:trPr>
        <w:tc>
          <w:tcPr>
            <w:tcW w:w="0" w:type="auto"/>
            <w:vAlign w:val="center"/>
            <w:hideMark/>
          </w:tcPr>
          <w:p w14:paraId="5B7C8FB2" w14:textId="77777777" w:rsidR="00566A41" w:rsidRPr="00566A41" w:rsidRDefault="00566A41" w:rsidP="007F1E7B">
            <w:pPr>
              <w:spacing w:line="240" w:lineRule="auto"/>
            </w:pPr>
          </w:p>
        </w:tc>
        <w:tc>
          <w:tcPr>
            <w:tcW w:w="0" w:type="auto"/>
            <w:vAlign w:val="center"/>
            <w:hideMark/>
          </w:tcPr>
          <w:p w14:paraId="54A1893D" w14:textId="77777777" w:rsidR="00566A41" w:rsidRPr="00566A41" w:rsidRDefault="00566A41" w:rsidP="007F1E7B">
            <w:pPr>
              <w:spacing w:line="240" w:lineRule="auto"/>
            </w:pPr>
          </w:p>
        </w:tc>
        <w:tc>
          <w:tcPr>
            <w:tcW w:w="0" w:type="auto"/>
            <w:vAlign w:val="center"/>
            <w:hideMark/>
          </w:tcPr>
          <w:p w14:paraId="541AC060" w14:textId="77777777" w:rsidR="00566A41" w:rsidRPr="00566A41" w:rsidRDefault="00566A41" w:rsidP="007F1E7B">
            <w:pPr>
              <w:spacing w:line="240" w:lineRule="auto"/>
            </w:pPr>
          </w:p>
        </w:tc>
      </w:tr>
      <w:tr w:rsidR="007F1E7B" w:rsidRPr="00566A41" w14:paraId="055B5648" w14:textId="77777777" w:rsidTr="001B7459">
        <w:trPr>
          <w:tblHeader/>
          <w:tblCellSpacing w:w="15" w:type="dxa"/>
          <w:jc w:val="center"/>
        </w:trPr>
        <w:tc>
          <w:tcPr>
            <w:tcW w:w="0" w:type="auto"/>
            <w:vAlign w:val="center"/>
            <w:hideMark/>
          </w:tcPr>
          <w:p w14:paraId="0A2E2DB4" w14:textId="77777777" w:rsidR="00566A41" w:rsidRPr="00566A41" w:rsidRDefault="00566A41" w:rsidP="007F1E7B">
            <w:pPr>
              <w:spacing w:line="240" w:lineRule="auto"/>
            </w:pPr>
            <w:r w:rsidRPr="00566A41">
              <w:t>LVR</w:t>
            </w:r>
          </w:p>
        </w:tc>
        <w:tc>
          <w:tcPr>
            <w:tcW w:w="0" w:type="auto"/>
            <w:vAlign w:val="center"/>
            <w:hideMark/>
          </w:tcPr>
          <w:p w14:paraId="289C1381" w14:textId="77777777" w:rsidR="00566A41" w:rsidRPr="00566A41" w:rsidRDefault="00566A41" w:rsidP="007F1E7B">
            <w:pPr>
              <w:spacing w:line="240" w:lineRule="auto"/>
            </w:pPr>
            <w:r w:rsidRPr="00566A41">
              <w:t>-0.279</w:t>
            </w:r>
            <w:r w:rsidRPr="00566A41">
              <w:rPr>
                <w:vertAlign w:val="superscript"/>
              </w:rPr>
              <w:t>***</w:t>
            </w:r>
          </w:p>
        </w:tc>
        <w:tc>
          <w:tcPr>
            <w:tcW w:w="0" w:type="auto"/>
            <w:vAlign w:val="center"/>
            <w:hideMark/>
          </w:tcPr>
          <w:p w14:paraId="06A50FC9" w14:textId="77777777" w:rsidR="00566A41" w:rsidRPr="00566A41" w:rsidRDefault="00566A41" w:rsidP="007F1E7B">
            <w:pPr>
              <w:spacing w:line="240" w:lineRule="auto"/>
            </w:pPr>
            <w:r w:rsidRPr="00566A41">
              <w:t>-0.281</w:t>
            </w:r>
            <w:r w:rsidRPr="00566A41">
              <w:rPr>
                <w:vertAlign w:val="superscript"/>
              </w:rPr>
              <w:t>***</w:t>
            </w:r>
          </w:p>
        </w:tc>
      </w:tr>
      <w:tr w:rsidR="007F1E7B" w:rsidRPr="00566A41" w14:paraId="5CEA9709" w14:textId="77777777" w:rsidTr="001B7459">
        <w:trPr>
          <w:tblHeader/>
          <w:tblCellSpacing w:w="15" w:type="dxa"/>
          <w:jc w:val="center"/>
        </w:trPr>
        <w:tc>
          <w:tcPr>
            <w:tcW w:w="0" w:type="auto"/>
            <w:vAlign w:val="center"/>
            <w:hideMark/>
          </w:tcPr>
          <w:p w14:paraId="1C09CDD8" w14:textId="77777777" w:rsidR="00566A41" w:rsidRPr="00566A41" w:rsidRDefault="00566A41" w:rsidP="007F1E7B">
            <w:pPr>
              <w:spacing w:line="240" w:lineRule="auto"/>
            </w:pPr>
          </w:p>
        </w:tc>
        <w:tc>
          <w:tcPr>
            <w:tcW w:w="0" w:type="auto"/>
            <w:vAlign w:val="center"/>
            <w:hideMark/>
          </w:tcPr>
          <w:p w14:paraId="3F2A8819" w14:textId="77777777" w:rsidR="00566A41" w:rsidRPr="00566A41" w:rsidRDefault="00566A41" w:rsidP="007F1E7B">
            <w:pPr>
              <w:spacing w:line="240" w:lineRule="auto"/>
            </w:pPr>
            <w:r w:rsidRPr="00566A41">
              <w:t>(0.060)</w:t>
            </w:r>
          </w:p>
        </w:tc>
        <w:tc>
          <w:tcPr>
            <w:tcW w:w="0" w:type="auto"/>
            <w:vAlign w:val="center"/>
            <w:hideMark/>
          </w:tcPr>
          <w:p w14:paraId="5DB3FC80" w14:textId="77777777" w:rsidR="00566A41" w:rsidRPr="00566A41" w:rsidRDefault="00566A41" w:rsidP="007F1E7B">
            <w:pPr>
              <w:spacing w:line="240" w:lineRule="auto"/>
            </w:pPr>
            <w:r w:rsidRPr="00566A41">
              <w:t>(0.058)</w:t>
            </w:r>
          </w:p>
        </w:tc>
      </w:tr>
      <w:tr w:rsidR="007F1E7B" w:rsidRPr="00566A41" w14:paraId="2A84B403" w14:textId="77777777" w:rsidTr="001B7459">
        <w:trPr>
          <w:tblHeader/>
          <w:tblCellSpacing w:w="15" w:type="dxa"/>
          <w:jc w:val="center"/>
        </w:trPr>
        <w:tc>
          <w:tcPr>
            <w:tcW w:w="0" w:type="auto"/>
            <w:vAlign w:val="center"/>
            <w:hideMark/>
          </w:tcPr>
          <w:p w14:paraId="2EB11A9F" w14:textId="77777777" w:rsidR="00566A41" w:rsidRPr="00566A41" w:rsidRDefault="00566A41" w:rsidP="007F1E7B">
            <w:pPr>
              <w:spacing w:line="240" w:lineRule="auto"/>
            </w:pPr>
          </w:p>
        </w:tc>
        <w:tc>
          <w:tcPr>
            <w:tcW w:w="0" w:type="auto"/>
            <w:vAlign w:val="center"/>
            <w:hideMark/>
          </w:tcPr>
          <w:p w14:paraId="5B57243F" w14:textId="77777777" w:rsidR="00566A41" w:rsidRPr="00566A41" w:rsidRDefault="00566A41" w:rsidP="007F1E7B">
            <w:pPr>
              <w:spacing w:line="240" w:lineRule="auto"/>
            </w:pPr>
          </w:p>
        </w:tc>
        <w:tc>
          <w:tcPr>
            <w:tcW w:w="0" w:type="auto"/>
            <w:vAlign w:val="center"/>
            <w:hideMark/>
          </w:tcPr>
          <w:p w14:paraId="3916609A" w14:textId="77777777" w:rsidR="00566A41" w:rsidRPr="00566A41" w:rsidRDefault="00566A41" w:rsidP="007F1E7B">
            <w:pPr>
              <w:spacing w:line="240" w:lineRule="auto"/>
            </w:pPr>
          </w:p>
        </w:tc>
      </w:tr>
      <w:tr w:rsidR="007F1E7B" w:rsidRPr="00566A41" w14:paraId="530AC7DC" w14:textId="77777777" w:rsidTr="001B7459">
        <w:trPr>
          <w:tblHeader/>
          <w:tblCellSpacing w:w="15" w:type="dxa"/>
          <w:jc w:val="center"/>
        </w:trPr>
        <w:tc>
          <w:tcPr>
            <w:tcW w:w="0" w:type="auto"/>
            <w:vAlign w:val="center"/>
            <w:hideMark/>
          </w:tcPr>
          <w:p w14:paraId="3FFA962E" w14:textId="77777777" w:rsidR="00566A41" w:rsidRPr="00566A41" w:rsidRDefault="00566A41" w:rsidP="007F1E7B">
            <w:pPr>
              <w:spacing w:line="240" w:lineRule="auto"/>
            </w:pPr>
            <w:r w:rsidRPr="00566A41">
              <w:t>SZE</w:t>
            </w:r>
          </w:p>
        </w:tc>
        <w:tc>
          <w:tcPr>
            <w:tcW w:w="0" w:type="auto"/>
            <w:vAlign w:val="center"/>
            <w:hideMark/>
          </w:tcPr>
          <w:p w14:paraId="0B603A4E" w14:textId="77777777" w:rsidR="00566A41" w:rsidRPr="00566A41" w:rsidRDefault="00566A41" w:rsidP="007F1E7B">
            <w:pPr>
              <w:spacing w:line="240" w:lineRule="auto"/>
            </w:pPr>
            <w:r w:rsidRPr="00566A41">
              <w:t>-0.005</w:t>
            </w:r>
          </w:p>
        </w:tc>
        <w:tc>
          <w:tcPr>
            <w:tcW w:w="0" w:type="auto"/>
            <w:vAlign w:val="center"/>
            <w:hideMark/>
          </w:tcPr>
          <w:p w14:paraId="05A982C7" w14:textId="77777777" w:rsidR="00566A41" w:rsidRPr="00566A41" w:rsidRDefault="00566A41" w:rsidP="007F1E7B">
            <w:pPr>
              <w:spacing w:line="240" w:lineRule="auto"/>
            </w:pPr>
            <w:r w:rsidRPr="00566A41">
              <w:t>-0.005</w:t>
            </w:r>
          </w:p>
        </w:tc>
      </w:tr>
      <w:tr w:rsidR="007F1E7B" w:rsidRPr="00566A41" w14:paraId="5E3DFD61" w14:textId="77777777" w:rsidTr="001B7459">
        <w:trPr>
          <w:tblHeader/>
          <w:tblCellSpacing w:w="15" w:type="dxa"/>
          <w:jc w:val="center"/>
        </w:trPr>
        <w:tc>
          <w:tcPr>
            <w:tcW w:w="0" w:type="auto"/>
            <w:vAlign w:val="center"/>
            <w:hideMark/>
          </w:tcPr>
          <w:p w14:paraId="5FA22C45" w14:textId="77777777" w:rsidR="00566A41" w:rsidRPr="00566A41" w:rsidRDefault="00566A41" w:rsidP="007F1E7B">
            <w:pPr>
              <w:spacing w:line="240" w:lineRule="auto"/>
            </w:pPr>
          </w:p>
        </w:tc>
        <w:tc>
          <w:tcPr>
            <w:tcW w:w="0" w:type="auto"/>
            <w:vAlign w:val="center"/>
            <w:hideMark/>
          </w:tcPr>
          <w:p w14:paraId="6B893BBD" w14:textId="77777777" w:rsidR="00566A41" w:rsidRPr="00566A41" w:rsidRDefault="00566A41" w:rsidP="007F1E7B">
            <w:pPr>
              <w:spacing w:line="240" w:lineRule="auto"/>
            </w:pPr>
            <w:r w:rsidRPr="00566A41">
              <w:t>(0.008)</w:t>
            </w:r>
          </w:p>
        </w:tc>
        <w:tc>
          <w:tcPr>
            <w:tcW w:w="0" w:type="auto"/>
            <w:vAlign w:val="center"/>
            <w:hideMark/>
          </w:tcPr>
          <w:p w14:paraId="0AC5B85A" w14:textId="77777777" w:rsidR="00566A41" w:rsidRPr="00566A41" w:rsidRDefault="00566A41" w:rsidP="007F1E7B">
            <w:pPr>
              <w:spacing w:line="240" w:lineRule="auto"/>
            </w:pPr>
            <w:r w:rsidRPr="00566A41">
              <w:t>(0.008)</w:t>
            </w:r>
          </w:p>
        </w:tc>
      </w:tr>
      <w:tr w:rsidR="007F1E7B" w:rsidRPr="00566A41" w14:paraId="0749897D" w14:textId="77777777" w:rsidTr="001B7459">
        <w:trPr>
          <w:tblHeader/>
          <w:tblCellSpacing w:w="15" w:type="dxa"/>
          <w:jc w:val="center"/>
        </w:trPr>
        <w:tc>
          <w:tcPr>
            <w:tcW w:w="0" w:type="auto"/>
            <w:vAlign w:val="center"/>
            <w:hideMark/>
          </w:tcPr>
          <w:p w14:paraId="0B2E6448" w14:textId="77777777" w:rsidR="00566A41" w:rsidRPr="00566A41" w:rsidRDefault="00566A41" w:rsidP="007F1E7B">
            <w:pPr>
              <w:spacing w:line="240" w:lineRule="auto"/>
            </w:pPr>
          </w:p>
        </w:tc>
        <w:tc>
          <w:tcPr>
            <w:tcW w:w="0" w:type="auto"/>
            <w:vAlign w:val="center"/>
            <w:hideMark/>
          </w:tcPr>
          <w:p w14:paraId="0DC9E32B" w14:textId="77777777" w:rsidR="00566A41" w:rsidRPr="00566A41" w:rsidRDefault="00566A41" w:rsidP="007F1E7B">
            <w:pPr>
              <w:spacing w:line="240" w:lineRule="auto"/>
            </w:pPr>
          </w:p>
        </w:tc>
        <w:tc>
          <w:tcPr>
            <w:tcW w:w="0" w:type="auto"/>
            <w:vAlign w:val="center"/>
            <w:hideMark/>
          </w:tcPr>
          <w:p w14:paraId="151CA744" w14:textId="77777777" w:rsidR="00566A41" w:rsidRPr="00566A41" w:rsidRDefault="00566A41" w:rsidP="007F1E7B">
            <w:pPr>
              <w:spacing w:line="240" w:lineRule="auto"/>
            </w:pPr>
          </w:p>
        </w:tc>
      </w:tr>
      <w:tr w:rsidR="007F1E7B" w:rsidRPr="00566A41" w14:paraId="00FDC537" w14:textId="77777777" w:rsidTr="001B7459">
        <w:trPr>
          <w:tblHeader/>
          <w:tblCellSpacing w:w="15" w:type="dxa"/>
          <w:jc w:val="center"/>
        </w:trPr>
        <w:tc>
          <w:tcPr>
            <w:tcW w:w="0" w:type="auto"/>
            <w:vAlign w:val="center"/>
            <w:hideMark/>
          </w:tcPr>
          <w:p w14:paraId="2B2C3337" w14:textId="77777777" w:rsidR="00566A41" w:rsidRPr="00566A41" w:rsidRDefault="00566A41" w:rsidP="007F1E7B">
            <w:pPr>
              <w:spacing w:line="240" w:lineRule="auto"/>
            </w:pPr>
            <w:r w:rsidRPr="00566A41">
              <w:t>Constant</w:t>
            </w:r>
          </w:p>
        </w:tc>
        <w:tc>
          <w:tcPr>
            <w:tcW w:w="0" w:type="auto"/>
            <w:vAlign w:val="center"/>
            <w:hideMark/>
          </w:tcPr>
          <w:p w14:paraId="59B57E4D" w14:textId="77777777" w:rsidR="00566A41" w:rsidRPr="00566A41" w:rsidRDefault="00566A41" w:rsidP="007F1E7B">
            <w:pPr>
              <w:spacing w:line="240" w:lineRule="auto"/>
            </w:pPr>
            <w:r w:rsidRPr="00566A41">
              <w:t>0.228</w:t>
            </w:r>
          </w:p>
        </w:tc>
        <w:tc>
          <w:tcPr>
            <w:tcW w:w="0" w:type="auto"/>
            <w:vAlign w:val="center"/>
            <w:hideMark/>
          </w:tcPr>
          <w:p w14:paraId="22BB2817" w14:textId="77777777" w:rsidR="00566A41" w:rsidRPr="00566A41" w:rsidRDefault="00566A41" w:rsidP="007F1E7B">
            <w:pPr>
              <w:spacing w:line="240" w:lineRule="auto"/>
            </w:pPr>
            <w:r w:rsidRPr="00566A41">
              <w:t>0.241</w:t>
            </w:r>
          </w:p>
        </w:tc>
      </w:tr>
      <w:tr w:rsidR="007F1E7B" w:rsidRPr="00566A41" w14:paraId="333FA3DE" w14:textId="77777777" w:rsidTr="001B7459">
        <w:trPr>
          <w:tblHeader/>
          <w:tblCellSpacing w:w="15" w:type="dxa"/>
          <w:jc w:val="center"/>
        </w:trPr>
        <w:tc>
          <w:tcPr>
            <w:tcW w:w="0" w:type="auto"/>
            <w:vAlign w:val="center"/>
            <w:hideMark/>
          </w:tcPr>
          <w:p w14:paraId="22836DB4" w14:textId="77777777" w:rsidR="00566A41" w:rsidRPr="00566A41" w:rsidRDefault="00566A41" w:rsidP="007F1E7B">
            <w:pPr>
              <w:spacing w:line="240" w:lineRule="auto"/>
            </w:pPr>
          </w:p>
        </w:tc>
        <w:tc>
          <w:tcPr>
            <w:tcW w:w="0" w:type="auto"/>
            <w:vAlign w:val="center"/>
            <w:hideMark/>
          </w:tcPr>
          <w:p w14:paraId="27145801" w14:textId="77777777" w:rsidR="00566A41" w:rsidRPr="00566A41" w:rsidRDefault="00566A41" w:rsidP="007F1E7B">
            <w:pPr>
              <w:spacing w:line="240" w:lineRule="auto"/>
            </w:pPr>
            <w:r w:rsidRPr="00566A41">
              <w:t>(0.180)</w:t>
            </w:r>
          </w:p>
        </w:tc>
        <w:tc>
          <w:tcPr>
            <w:tcW w:w="0" w:type="auto"/>
            <w:vAlign w:val="center"/>
            <w:hideMark/>
          </w:tcPr>
          <w:p w14:paraId="5280D386" w14:textId="77777777" w:rsidR="00566A41" w:rsidRPr="00566A41" w:rsidRDefault="00566A41" w:rsidP="007F1E7B">
            <w:pPr>
              <w:spacing w:line="240" w:lineRule="auto"/>
            </w:pPr>
            <w:r w:rsidRPr="00566A41">
              <w:t>(0.175)</w:t>
            </w:r>
          </w:p>
        </w:tc>
      </w:tr>
      <w:tr w:rsidR="007F1E7B" w:rsidRPr="00566A41" w14:paraId="2E7D268C" w14:textId="77777777" w:rsidTr="001B7459">
        <w:trPr>
          <w:tblHeader/>
          <w:tblCellSpacing w:w="15" w:type="dxa"/>
          <w:jc w:val="center"/>
        </w:trPr>
        <w:tc>
          <w:tcPr>
            <w:tcW w:w="0" w:type="auto"/>
            <w:vAlign w:val="center"/>
            <w:hideMark/>
          </w:tcPr>
          <w:p w14:paraId="2B7E5843" w14:textId="77777777" w:rsidR="00566A41" w:rsidRPr="00566A41" w:rsidRDefault="00566A41" w:rsidP="007F1E7B">
            <w:pPr>
              <w:spacing w:line="240" w:lineRule="auto"/>
            </w:pPr>
          </w:p>
        </w:tc>
        <w:tc>
          <w:tcPr>
            <w:tcW w:w="0" w:type="auto"/>
            <w:vAlign w:val="center"/>
            <w:hideMark/>
          </w:tcPr>
          <w:p w14:paraId="290CC94C" w14:textId="77777777" w:rsidR="00566A41" w:rsidRPr="00566A41" w:rsidRDefault="00566A41" w:rsidP="007F1E7B">
            <w:pPr>
              <w:spacing w:line="240" w:lineRule="auto"/>
            </w:pPr>
          </w:p>
        </w:tc>
        <w:tc>
          <w:tcPr>
            <w:tcW w:w="0" w:type="auto"/>
            <w:vAlign w:val="center"/>
            <w:hideMark/>
          </w:tcPr>
          <w:p w14:paraId="6A9342F8" w14:textId="77777777" w:rsidR="00566A41" w:rsidRPr="00566A41" w:rsidRDefault="00566A41" w:rsidP="007F1E7B">
            <w:pPr>
              <w:spacing w:line="240" w:lineRule="auto"/>
            </w:pPr>
          </w:p>
        </w:tc>
      </w:tr>
      <w:tr w:rsidR="00566A41" w:rsidRPr="00566A41" w14:paraId="36D69144" w14:textId="77777777" w:rsidTr="001B7459">
        <w:trPr>
          <w:tblHeader/>
          <w:tblCellSpacing w:w="15" w:type="dxa"/>
          <w:jc w:val="center"/>
        </w:trPr>
        <w:tc>
          <w:tcPr>
            <w:tcW w:w="0" w:type="auto"/>
            <w:gridSpan w:val="3"/>
            <w:vAlign w:val="center"/>
            <w:hideMark/>
          </w:tcPr>
          <w:p w14:paraId="123C8568" w14:textId="77777777" w:rsidR="00566A41" w:rsidRPr="00566A41" w:rsidRDefault="00566A41" w:rsidP="007F1E7B">
            <w:pPr>
              <w:spacing w:line="240" w:lineRule="auto"/>
            </w:pPr>
          </w:p>
        </w:tc>
      </w:tr>
      <w:tr w:rsidR="007F1E7B" w:rsidRPr="00566A41" w14:paraId="3B73D84D" w14:textId="77777777" w:rsidTr="001B7459">
        <w:trPr>
          <w:tblHeader/>
          <w:tblCellSpacing w:w="15" w:type="dxa"/>
          <w:jc w:val="center"/>
        </w:trPr>
        <w:tc>
          <w:tcPr>
            <w:tcW w:w="0" w:type="auto"/>
            <w:vAlign w:val="center"/>
            <w:hideMark/>
          </w:tcPr>
          <w:p w14:paraId="608FB72A" w14:textId="77777777" w:rsidR="00566A41" w:rsidRPr="00566A41" w:rsidRDefault="00566A41" w:rsidP="007F1E7B">
            <w:pPr>
              <w:spacing w:line="240" w:lineRule="auto"/>
            </w:pPr>
            <w:r w:rsidRPr="00566A41">
              <w:t>Observations</w:t>
            </w:r>
          </w:p>
        </w:tc>
        <w:tc>
          <w:tcPr>
            <w:tcW w:w="0" w:type="auto"/>
            <w:vAlign w:val="center"/>
            <w:hideMark/>
          </w:tcPr>
          <w:p w14:paraId="0472C1D2" w14:textId="77777777" w:rsidR="00566A41" w:rsidRPr="00566A41" w:rsidRDefault="00566A41" w:rsidP="007F1E7B">
            <w:pPr>
              <w:spacing w:line="240" w:lineRule="auto"/>
            </w:pPr>
            <w:r w:rsidRPr="00566A41">
              <w:t>80</w:t>
            </w:r>
          </w:p>
        </w:tc>
        <w:tc>
          <w:tcPr>
            <w:tcW w:w="0" w:type="auto"/>
            <w:vAlign w:val="center"/>
            <w:hideMark/>
          </w:tcPr>
          <w:p w14:paraId="4182368F" w14:textId="77777777" w:rsidR="00566A41" w:rsidRPr="00566A41" w:rsidRDefault="00566A41" w:rsidP="007F1E7B">
            <w:pPr>
              <w:spacing w:line="240" w:lineRule="auto"/>
            </w:pPr>
            <w:r w:rsidRPr="00566A41">
              <w:t>80</w:t>
            </w:r>
          </w:p>
        </w:tc>
      </w:tr>
      <w:tr w:rsidR="007F1E7B" w:rsidRPr="00566A41" w14:paraId="308FC032" w14:textId="77777777" w:rsidTr="001B7459">
        <w:trPr>
          <w:tblHeader/>
          <w:tblCellSpacing w:w="15" w:type="dxa"/>
          <w:jc w:val="center"/>
        </w:trPr>
        <w:tc>
          <w:tcPr>
            <w:tcW w:w="0" w:type="auto"/>
            <w:vAlign w:val="center"/>
            <w:hideMark/>
          </w:tcPr>
          <w:p w14:paraId="663DDF55" w14:textId="77777777" w:rsidR="00566A41" w:rsidRPr="00566A41" w:rsidRDefault="00566A41" w:rsidP="007F1E7B">
            <w:pPr>
              <w:spacing w:line="240" w:lineRule="auto"/>
            </w:pPr>
            <w:r w:rsidRPr="00566A41">
              <w:t>R</w:t>
            </w:r>
            <w:r w:rsidRPr="00566A41">
              <w:rPr>
                <w:vertAlign w:val="superscript"/>
              </w:rPr>
              <w:t>2</w:t>
            </w:r>
          </w:p>
        </w:tc>
        <w:tc>
          <w:tcPr>
            <w:tcW w:w="0" w:type="auto"/>
            <w:vAlign w:val="center"/>
            <w:hideMark/>
          </w:tcPr>
          <w:p w14:paraId="6EADA627" w14:textId="77777777" w:rsidR="00566A41" w:rsidRPr="00566A41" w:rsidRDefault="00566A41" w:rsidP="007F1E7B">
            <w:pPr>
              <w:spacing w:line="240" w:lineRule="auto"/>
            </w:pPr>
            <w:r w:rsidRPr="00566A41">
              <w:t>0.406</w:t>
            </w:r>
          </w:p>
        </w:tc>
        <w:tc>
          <w:tcPr>
            <w:tcW w:w="0" w:type="auto"/>
            <w:vAlign w:val="center"/>
            <w:hideMark/>
          </w:tcPr>
          <w:p w14:paraId="16CC240D" w14:textId="77777777" w:rsidR="00566A41" w:rsidRPr="00566A41" w:rsidRDefault="00566A41" w:rsidP="007F1E7B">
            <w:pPr>
              <w:spacing w:line="240" w:lineRule="auto"/>
            </w:pPr>
            <w:r w:rsidRPr="00566A41">
              <w:t>0.433</w:t>
            </w:r>
          </w:p>
        </w:tc>
      </w:tr>
      <w:tr w:rsidR="007F1E7B" w:rsidRPr="00566A41" w14:paraId="53B924DA" w14:textId="77777777" w:rsidTr="001B7459">
        <w:trPr>
          <w:tblHeader/>
          <w:tblCellSpacing w:w="15" w:type="dxa"/>
          <w:jc w:val="center"/>
        </w:trPr>
        <w:tc>
          <w:tcPr>
            <w:tcW w:w="0" w:type="auto"/>
            <w:vAlign w:val="center"/>
            <w:hideMark/>
          </w:tcPr>
          <w:p w14:paraId="15CCFDDB" w14:textId="77777777" w:rsidR="00566A41" w:rsidRPr="00566A41" w:rsidRDefault="00566A41" w:rsidP="007F1E7B">
            <w:pPr>
              <w:spacing w:line="240" w:lineRule="auto"/>
            </w:pPr>
            <w:r w:rsidRPr="00566A41">
              <w:t>Adjusted R</w:t>
            </w:r>
            <w:r w:rsidRPr="00566A41">
              <w:rPr>
                <w:vertAlign w:val="superscript"/>
              </w:rPr>
              <w:t>2</w:t>
            </w:r>
          </w:p>
        </w:tc>
        <w:tc>
          <w:tcPr>
            <w:tcW w:w="0" w:type="auto"/>
            <w:vAlign w:val="center"/>
            <w:hideMark/>
          </w:tcPr>
          <w:p w14:paraId="74337D2B" w14:textId="77777777" w:rsidR="00566A41" w:rsidRPr="00566A41" w:rsidRDefault="00566A41" w:rsidP="007F1E7B">
            <w:pPr>
              <w:spacing w:line="240" w:lineRule="auto"/>
            </w:pPr>
            <w:r w:rsidRPr="00566A41">
              <w:t>0.358</w:t>
            </w:r>
          </w:p>
        </w:tc>
        <w:tc>
          <w:tcPr>
            <w:tcW w:w="0" w:type="auto"/>
            <w:vAlign w:val="center"/>
            <w:hideMark/>
          </w:tcPr>
          <w:p w14:paraId="7655C6D1" w14:textId="77777777" w:rsidR="00566A41" w:rsidRPr="00566A41" w:rsidRDefault="00566A41" w:rsidP="007F1E7B">
            <w:pPr>
              <w:spacing w:line="240" w:lineRule="auto"/>
            </w:pPr>
            <w:r w:rsidRPr="00566A41">
              <w:t>0.369</w:t>
            </w:r>
          </w:p>
        </w:tc>
      </w:tr>
      <w:tr w:rsidR="007F1E7B" w:rsidRPr="00566A41" w14:paraId="46991207" w14:textId="77777777" w:rsidTr="001B7459">
        <w:trPr>
          <w:tblHeader/>
          <w:tblCellSpacing w:w="15" w:type="dxa"/>
          <w:jc w:val="center"/>
        </w:trPr>
        <w:tc>
          <w:tcPr>
            <w:tcW w:w="0" w:type="auto"/>
            <w:vAlign w:val="center"/>
            <w:hideMark/>
          </w:tcPr>
          <w:p w14:paraId="00C7B2D0" w14:textId="77777777" w:rsidR="00566A41" w:rsidRPr="00566A41" w:rsidRDefault="00566A41" w:rsidP="007F1E7B">
            <w:pPr>
              <w:spacing w:line="240" w:lineRule="auto"/>
            </w:pPr>
            <w:r w:rsidRPr="00566A41">
              <w:t>F Statistic</w:t>
            </w:r>
          </w:p>
        </w:tc>
        <w:tc>
          <w:tcPr>
            <w:tcW w:w="0" w:type="auto"/>
            <w:vAlign w:val="center"/>
            <w:hideMark/>
          </w:tcPr>
          <w:p w14:paraId="08239375" w14:textId="77777777" w:rsidR="00566A41" w:rsidRPr="00566A41" w:rsidRDefault="00566A41" w:rsidP="007F1E7B">
            <w:pPr>
              <w:spacing w:line="240" w:lineRule="auto"/>
            </w:pPr>
            <w:r w:rsidRPr="00566A41">
              <w:t>49.998</w:t>
            </w:r>
            <w:r w:rsidRPr="00566A41">
              <w:rPr>
                <w:vertAlign w:val="superscript"/>
              </w:rPr>
              <w:t>***</w:t>
            </w:r>
          </w:p>
        </w:tc>
        <w:tc>
          <w:tcPr>
            <w:tcW w:w="0" w:type="auto"/>
            <w:vAlign w:val="center"/>
            <w:hideMark/>
          </w:tcPr>
          <w:p w14:paraId="57DCA454" w14:textId="77777777" w:rsidR="00566A41" w:rsidRPr="00566A41" w:rsidRDefault="00566A41" w:rsidP="007F1E7B">
            <w:pPr>
              <w:spacing w:line="240" w:lineRule="auto"/>
            </w:pPr>
            <w:r w:rsidRPr="00566A41">
              <w:t>54.113</w:t>
            </w:r>
            <w:r w:rsidRPr="00566A41">
              <w:rPr>
                <w:vertAlign w:val="superscript"/>
              </w:rPr>
              <w:t>***</w:t>
            </w:r>
          </w:p>
        </w:tc>
      </w:tr>
      <w:tr w:rsidR="00566A41" w:rsidRPr="00566A41" w14:paraId="6046346F" w14:textId="77777777" w:rsidTr="001B7459">
        <w:trPr>
          <w:tblHeader/>
          <w:tblCellSpacing w:w="15" w:type="dxa"/>
          <w:jc w:val="center"/>
        </w:trPr>
        <w:tc>
          <w:tcPr>
            <w:tcW w:w="0" w:type="auto"/>
            <w:gridSpan w:val="3"/>
            <w:vAlign w:val="center"/>
            <w:hideMark/>
          </w:tcPr>
          <w:p w14:paraId="79558116" w14:textId="77777777" w:rsidR="00566A41" w:rsidRPr="00566A41" w:rsidRDefault="00566A41" w:rsidP="007F1E7B">
            <w:pPr>
              <w:spacing w:line="240" w:lineRule="auto"/>
            </w:pPr>
          </w:p>
        </w:tc>
      </w:tr>
      <w:tr w:rsidR="00566A41" w:rsidRPr="00566A41" w14:paraId="30EE81E3" w14:textId="77777777" w:rsidTr="001B7459">
        <w:trPr>
          <w:tblHeader/>
          <w:tblCellSpacing w:w="15" w:type="dxa"/>
          <w:jc w:val="center"/>
        </w:trPr>
        <w:tc>
          <w:tcPr>
            <w:tcW w:w="0" w:type="auto"/>
            <w:vAlign w:val="center"/>
            <w:hideMark/>
          </w:tcPr>
          <w:p w14:paraId="00566184" w14:textId="77777777" w:rsidR="00566A41" w:rsidRPr="00566A41" w:rsidRDefault="00566A41" w:rsidP="007F1E7B">
            <w:pPr>
              <w:spacing w:line="240" w:lineRule="auto"/>
            </w:pPr>
            <w:r w:rsidRPr="00566A41">
              <w:rPr>
                <w:rStyle w:val="Emphasis"/>
              </w:rPr>
              <w:t>Note:</w:t>
            </w:r>
          </w:p>
        </w:tc>
        <w:tc>
          <w:tcPr>
            <w:tcW w:w="0" w:type="auto"/>
            <w:gridSpan w:val="2"/>
            <w:vAlign w:val="center"/>
            <w:hideMark/>
          </w:tcPr>
          <w:p w14:paraId="0CE7BA9B" w14:textId="77777777" w:rsidR="00566A41" w:rsidRPr="00566A41" w:rsidRDefault="00566A41" w:rsidP="007F1E7B">
            <w:pPr>
              <w:spacing w:line="240" w:lineRule="auto"/>
            </w:pPr>
            <w:r w:rsidRPr="00566A41">
              <w:rPr>
                <w:vertAlign w:val="superscript"/>
              </w:rPr>
              <w:t>*</w:t>
            </w:r>
            <w:r w:rsidRPr="00566A41">
              <w:t>p&lt;0.1;</w:t>
            </w:r>
            <w:r w:rsidRPr="00566A41">
              <w:rPr>
                <w:rStyle w:val="apple-converted-space"/>
              </w:rPr>
              <w:t> </w:t>
            </w:r>
            <w:r w:rsidRPr="00566A41">
              <w:rPr>
                <w:vertAlign w:val="superscript"/>
              </w:rPr>
              <w:t>**</w:t>
            </w:r>
            <w:r w:rsidRPr="00566A41">
              <w:t>p&lt;0.05;</w:t>
            </w:r>
            <w:r w:rsidRPr="00566A41">
              <w:rPr>
                <w:rStyle w:val="apple-converted-space"/>
              </w:rPr>
              <w:t> </w:t>
            </w:r>
            <w:r w:rsidRPr="00566A41">
              <w:rPr>
                <w:vertAlign w:val="superscript"/>
              </w:rPr>
              <w:t>***</w:t>
            </w:r>
            <w:r w:rsidRPr="00566A41">
              <w:t>p&lt;0.01</w:t>
            </w:r>
          </w:p>
        </w:tc>
      </w:tr>
    </w:tbl>
    <w:p w14:paraId="075BF04A" w14:textId="690C9373" w:rsidR="009D744C" w:rsidRDefault="000B7339" w:rsidP="005B3402">
      <w:r>
        <w:t xml:space="preserve">Since both models’ F statistics are significant, it can be said that both models are significant and descriptive. </w:t>
      </w:r>
      <w:r w:rsidR="00116BF7">
        <w:t>The war</w:t>
      </w:r>
      <w:r w:rsidR="00E761C5">
        <w:t xml:space="preserve"> and </w:t>
      </w:r>
      <w:r w:rsidR="00116BF7">
        <w:t>leverage</w:t>
      </w:r>
      <w:r w:rsidR="00E761C5">
        <w:t xml:space="preserve"> </w:t>
      </w:r>
      <w:r w:rsidR="00116BF7">
        <w:t xml:space="preserve">have </w:t>
      </w:r>
      <w:r w:rsidR="00E761C5">
        <w:t xml:space="preserve">significant in every p level. </w:t>
      </w:r>
      <w:r w:rsidR="00116BF7">
        <w:t>The Russia-Ukra</w:t>
      </w:r>
      <w:r w:rsidR="00DC3CE4">
        <w:t>ine</w:t>
      </w:r>
      <w:r w:rsidR="00116BF7">
        <w:t xml:space="preserve"> War has positive effect on Turkish energy companies’ profitability. On contrary, leverage </w:t>
      </w:r>
      <w:r w:rsidR="00116BF7">
        <w:lastRenderedPageBreak/>
        <w:t xml:space="preserve">affects companies’ profitability negatively. Though ESG or each pillar do not have significant impacts on profitability, </w:t>
      </w:r>
      <w:r w:rsidR="00144A8B">
        <w:t>while E pillar has negative relation S pillar has positive relation</w:t>
      </w:r>
      <w:r w:rsidR="00A85677">
        <w:t xml:space="preserve"> with ROA</w:t>
      </w:r>
      <w:r w:rsidR="00144A8B">
        <w:t>.</w:t>
      </w:r>
      <w:r>
        <w:t xml:space="preserve"> </w:t>
      </w:r>
      <w:r w:rsidR="00D50C6A">
        <w:t>The limited presence of ESG scores in the 80 observations could have impacted the outcome of the conclusion made from these models.</w:t>
      </w:r>
    </w:p>
    <w:p w14:paraId="6006BD95" w14:textId="09581235" w:rsidR="005B67CB" w:rsidRDefault="009B7ACF" w:rsidP="005C7A1D">
      <w:pPr>
        <w:pStyle w:val="Heading2"/>
      </w:pPr>
      <w:r>
        <w:t>“Responsible” Companies</w:t>
      </w:r>
    </w:p>
    <w:p w14:paraId="3F4FA462" w14:textId="26090CA0" w:rsidR="006A1494" w:rsidRPr="00974DE2" w:rsidRDefault="006B4114" w:rsidP="006A1494">
      <w:r w:rsidRPr="006B4114">
        <w:t>Models (3) and (4) were used for "Responsible" companies. "Responsible" companies refer to the companies (AKENR.E, AKSEN.E, BIOEN.E, ENJSA.E, ESEN.E, GWIND.E, MAGEN.E, NATEN.E, ZOREN.E) in the XELKT index with sustainability scores that were different from 0 at any time between 2019 and 2022.</w:t>
      </w:r>
      <w:r>
        <w:t xml:space="preserve"> </w:t>
      </w:r>
      <w:r w:rsidR="00432845">
        <w:t xml:space="preserve">In order to reduce complexity, all categorical variables (MRE, SUB and XUSRD) are omitted in these models. </w:t>
      </w:r>
    </w:p>
    <w:p w14:paraId="72BD4216" w14:textId="1229AA1C" w:rsidR="005B67CB" w:rsidRDefault="005B67CB" w:rsidP="005C7A1D">
      <w:pPr>
        <w:pStyle w:val="Heading3"/>
      </w:pPr>
      <w:r>
        <w:t xml:space="preserve">Correlation </w:t>
      </w:r>
    </w:p>
    <w:p w14:paraId="636FC086" w14:textId="1A187ABD" w:rsidR="00D0313E" w:rsidRPr="00D0313E" w:rsidRDefault="00D0313E" w:rsidP="00D0313E">
      <w:r>
        <w:t>Pearson correlation coefficient matrix for model (3) and (4) variables is given below as an heatmap.</w:t>
      </w:r>
    </w:p>
    <w:p w14:paraId="693D0225" w14:textId="77777777" w:rsidR="00D0313E" w:rsidRDefault="0022681E" w:rsidP="00D0313E">
      <w:pPr>
        <w:pStyle w:val="ListParagraph"/>
        <w:keepNext/>
        <w:jc w:val="center"/>
      </w:pPr>
      <w:r>
        <w:rPr>
          <w:noProof/>
        </w:rPr>
        <w:lastRenderedPageBreak/>
        <w:drawing>
          <wp:inline distT="0" distB="0" distL="0" distR="0" wp14:anchorId="3D3F9105" wp14:editId="73654381">
            <wp:extent cx="4795929" cy="3356043"/>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1">
                      <a:extLst>
                        <a:ext uri="{28A0092B-C50C-407E-A947-70E740481C1C}">
                          <a14:useLocalDpi xmlns:a14="http://schemas.microsoft.com/office/drawing/2010/main" val="0"/>
                        </a:ext>
                      </a:extLst>
                    </a:blip>
                    <a:stretch>
                      <a:fillRect/>
                    </a:stretch>
                  </pic:blipFill>
                  <pic:spPr>
                    <a:xfrm>
                      <a:off x="0" y="0"/>
                      <a:ext cx="4881261" cy="3415756"/>
                    </a:xfrm>
                    <a:prstGeom prst="rect">
                      <a:avLst/>
                    </a:prstGeom>
                  </pic:spPr>
                </pic:pic>
              </a:graphicData>
            </a:graphic>
          </wp:inline>
        </w:drawing>
      </w:r>
    </w:p>
    <w:p w14:paraId="526702EB" w14:textId="5FEBAAA6" w:rsidR="003A665E" w:rsidRPr="003A665E" w:rsidRDefault="00D0313E" w:rsidP="003A665E">
      <w:pPr>
        <w:pStyle w:val="Caption"/>
        <w:spacing w:after="240" w:afterAutospacing="0"/>
        <w:jc w:val="center"/>
        <w:rPr>
          <w:b/>
          <w:bCs/>
          <w:i w:val="0"/>
          <w:iCs w:val="0"/>
          <w:color w:val="000000" w:themeColor="text1"/>
          <w:sz w:val="24"/>
          <w:szCs w:val="24"/>
        </w:rPr>
      </w:pPr>
      <w:r w:rsidRPr="00D0313E">
        <w:rPr>
          <w:b/>
          <w:bCs/>
          <w:i w:val="0"/>
          <w:iCs w:val="0"/>
          <w:color w:val="000000" w:themeColor="text1"/>
          <w:sz w:val="24"/>
          <w:szCs w:val="24"/>
        </w:rPr>
        <w:t xml:space="preserve">Figure </w:t>
      </w:r>
      <w:r w:rsidRPr="00D0313E">
        <w:rPr>
          <w:b/>
          <w:bCs/>
          <w:i w:val="0"/>
          <w:iCs w:val="0"/>
          <w:color w:val="000000" w:themeColor="text1"/>
          <w:sz w:val="24"/>
          <w:szCs w:val="24"/>
        </w:rPr>
        <w:fldChar w:fldCharType="begin"/>
      </w:r>
      <w:r w:rsidRPr="00D0313E">
        <w:rPr>
          <w:b/>
          <w:bCs/>
          <w:i w:val="0"/>
          <w:iCs w:val="0"/>
          <w:color w:val="000000" w:themeColor="text1"/>
          <w:sz w:val="24"/>
          <w:szCs w:val="24"/>
        </w:rPr>
        <w:instrText xml:space="preserve"> SEQ Figure \* ARABIC </w:instrText>
      </w:r>
      <w:r w:rsidRPr="00D0313E">
        <w:rPr>
          <w:b/>
          <w:bCs/>
          <w:i w:val="0"/>
          <w:iCs w:val="0"/>
          <w:color w:val="000000" w:themeColor="text1"/>
          <w:sz w:val="24"/>
          <w:szCs w:val="24"/>
        </w:rPr>
        <w:fldChar w:fldCharType="separate"/>
      </w:r>
      <w:r w:rsidR="00862E33">
        <w:rPr>
          <w:b/>
          <w:bCs/>
          <w:i w:val="0"/>
          <w:iCs w:val="0"/>
          <w:noProof/>
          <w:color w:val="000000" w:themeColor="text1"/>
          <w:sz w:val="24"/>
          <w:szCs w:val="24"/>
        </w:rPr>
        <w:t>4</w:t>
      </w:r>
      <w:r w:rsidRPr="00D0313E">
        <w:rPr>
          <w:b/>
          <w:bCs/>
          <w:i w:val="0"/>
          <w:iCs w:val="0"/>
          <w:color w:val="000000" w:themeColor="text1"/>
          <w:sz w:val="24"/>
          <w:szCs w:val="24"/>
        </w:rPr>
        <w:fldChar w:fldCharType="end"/>
      </w:r>
      <w:r>
        <w:t xml:space="preserve">. </w:t>
      </w:r>
      <w:r w:rsidRPr="00D0313E">
        <w:rPr>
          <w:b/>
          <w:bCs/>
          <w:i w:val="0"/>
          <w:iCs w:val="0"/>
          <w:color w:val="000000" w:themeColor="text1"/>
          <w:sz w:val="24"/>
          <w:szCs w:val="24"/>
        </w:rPr>
        <w:t>Pearson Correlation Coefficient Matrix for (3), (4) Variables</w:t>
      </w:r>
    </w:p>
    <w:p w14:paraId="69D7C1E6" w14:textId="10E593E2" w:rsidR="00D0313E" w:rsidRPr="00D0313E" w:rsidRDefault="00D0313E" w:rsidP="00D0313E">
      <w:r>
        <w:t>Visualization of the given matrix is given below.</w:t>
      </w:r>
    </w:p>
    <w:p w14:paraId="5E58B387" w14:textId="77777777" w:rsidR="00D0313E" w:rsidRDefault="0022681E" w:rsidP="00D0313E">
      <w:pPr>
        <w:pStyle w:val="ListParagraph"/>
        <w:keepNext/>
        <w:jc w:val="center"/>
      </w:pPr>
      <w:r>
        <w:rPr>
          <w:noProof/>
        </w:rPr>
        <w:drawing>
          <wp:inline distT="0" distB="0" distL="0" distR="0" wp14:anchorId="21D3F051" wp14:editId="165E2341">
            <wp:extent cx="4036979" cy="2824953"/>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2">
                      <a:extLst>
                        <a:ext uri="{28A0092B-C50C-407E-A947-70E740481C1C}">
                          <a14:useLocalDpi xmlns:a14="http://schemas.microsoft.com/office/drawing/2010/main" val="0"/>
                        </a:ext>
                      </a:extLst>
                    </a:blip>
                    <a:stretch>
                      <a:fillRect/>
                    </a:stretch>
                  </pic:blipFill>
                  <pic:spPr>
                    <a:xfrm>
                      <a:off x="0" y="0"/>
                      <a:ext cx="4115621" cy="2879984"/>
                    </a:xfrm>
                    <a:prstGeom prst="rect">
                      <a:avLst/>
                    </a:prstGeom>
                  </pic:spPr>
                </pic:pic>
              </a:graphicData>
            </a:graphic>
          </wp:inline>
        </w:drawing>
      </w:r>
    </w:p>
    <w:p w14:paraId="666CA6D2" w14:textId="229D941F" w:rsidR="0022681E" w:rsidRDefault="00D0313E" w:rsidP="00D0313E">
      <w:pPr>
        <w:pStyle w:val="Caption"/>
        <w:jc w:val="center"/>
        <w:rPr>
          <w:b/>
          <w:bCs/>
          <w:i w:val="0"/>
          <w:iCs w:val="0"/>
          <w:color w:val="000000" w:themeColor="text1"/>
          <w:sz w:val="24"/>
          <w:szCs w:val="24"/>
        </w:rPr>
      </w:pPr>
      <w:r w:rsidRPr="00D0313E">
        <w:rPr>
          <w:b/>
          <w:bCs/>
          <w:i w:val="0"/>
          <w:iCs w:val="0"/>
          <w:color w:val="000000" w:themeColor="text1"/>
          <w:sz w:val="24"/>
          <w:szCs w:val="24"/>
        </w:rPr>
        <w:t xml:space="preserve">Figure </w:t>
      </w:r>
      <w:r w:rsidRPr="00D0313E">
        <w:rPr>
          <w:b/>
          <w:bCs/>
          <w:i w:val="0"/>
          <w:iCs w:val="0"/>
          <w:color w:val="000000" w:themeColor="text1"/>
          <w:sz w:val="24"/>
          <w:szCs w:val="24"/>
        </w:rPr>
        <w:fldChar w:fldCharType="begin"/>
      </w:r>
      <w:r w:rsidRPr="00D0313E">
        <w:rPr>
          <w:b/>
          <w:bCs/>
          <w:i w:val="0"/>
          <w:iCs w:val="0"/>
          <w:color w:val="000000" w:themeColor="text1"/>
          <w:sz w:val="24"/>
          <w:szCs w:val="24"/>
        </w:rPr>
        <w:instrText xml:space="preserve"> SEQ Figure \* ARABIC </w:instrText>
      </w:r>
      <w:r w:rsidRPr="00D0313E">
        <w:rPr>
          <w:b/>
          <w:bCs/>
          <w:i w:val="0"/>
          <w:iCs w:val="0"/>
          <w:color w:val="000000" w:themeColor="text1"/>
          <w:sz w:val="24"/>
          <w:szCs w:val="24"/>
        </w:rPr>
        <w:fldChar w:fldCharType="separate"/>
      </w:r>
      <w:r w:rsidR="00862E33">
        <w:rPr>
          <w:b/>
          <w:bCs/>
          <w:i w:val="0"/>
          <w:iCs w:val="0"/>
          <w:noProof/>
          <w:color w:val="000000" w:themeColor="text1"/>
          <w:sz w:val="24"/>
          <w:szCs w:val="24"/>
        </w:rPr>
        <w:t>5</w:t>
      </w:r>
      <w:r w:rsidRPr="00D0313E">
        <w:rPr>
          <w:b/>
          <w:bCs/>
          <w:i w:val="0"/>
          <w:iCs w:val="0"/>
          <w:color w:val="000000" w:themeColor="text1"/>
          <w:sz w:val="24"/>
          <w:szCs w:val="24"/>
        </w:rPr>
        <w:fldChar w:fldCharType="end"/>
      </w:r>
      <w:r w:rsidRPr="00D0313E">
        <w:rPr>
          <w:b/>
          <w:bCs/>
          <w:i w:val="0"/>
          <w:iCs w:val="0"/>
          <w:color w:val="000000" w:themeColor="text1"/>
          <w:sz w:val="24"/>
          <w:szCs w:val="24"/>
        </w:rPr>
        <w:t xml:space="preserve">. </w:t>
      </w:r>
      <w:r w:rsidRPr="00BA27E7">
        <w:rPr>
          <w:b/>
          <w:bCs/>
          <w:i w:val="0"/>
          <w:iCs w:val="0"/>
          <w:color w:val="000000" w:themeColor="text1"/>
          <w:sz w:val="24"/>
          <w:szCs w:val="24"/>
        </w:rPr>
        <w:t>Visualization of</w:t>
      </w:r>
      <w:r>
        <w:rPr>
          <w:b/>
          <w:bCs/>
          <w:i w:val="0"/>
          <w:iCs w:val="0"/>
          <w:color w:val="000000" w:themeColor="text1"/>
          <w:sz w:val="24"/>
          <w:szCs w:val="24"/>
        </w:rPr>
        <w:t xml:space="preserve"> </w:t>
      </w:r>
      <w:r w:rsidRPr="009719F0">
        <w:rPr>
          <w:b/>
          <w:bCs/>
          <w:i w:val="0"/>
          <w:iCs w:val="0"/>
          <w:color w:val="000000" w:themeColor="text1"/>
          <w:sz w:val="24"/>
          <w:szCs w:val="24"/>
        </w:rPr>
        <w:t>Pearson Correlation Coefficient</w:t>
      </w:r>
      <w:r w:rsidRPr="00BA27E7">
        <w:rPr>
          <w:b/>
          <w:bCs/>
          <w:i w:val="0"/>
          <w:iCs w:val="0"/>
          <w:color w:val="000000" w:themeColor="text1"/>
          <w:sz w:val="24"/>
          <w:szCs w:val="24"/>
        </w:rPr>
        <w:t xml:space="preserve"> Matrix</w:t>
      </w:r>
      <w:r>
        <w:rPr>
          <w:b/>
          <w:bCs/>
          <w:i w:val="0"/>
          <w:iCs w:val="0"/>
          <w:color w:val="000000" w:themeColor="text1"/>
          <w:sz w:val="24"/>
          <w:szCs w:val="24"/>
        </w:rPr>
        <w:t xml:space="preserve"> for (3), (4) Variables</w:t>
      </w:r>
    </w:p>
    <w:p w14:paraId="2325DF81" w14:textId="5FD85AB4" w:rsidR="009713D6" w:rsidRPr="009713D6" w:rsidRDefault="00164833" w:rsidP="009713D6">
      <w:r>
        <w:t xml:space="preserve">As expected, each ESG pillar scores and ESG overall score are highly positive correlated. It should also be noted that, all ESG related variables are highly correlated with company size. </w:t>
      </w:r>
      <w:r>
        <w:lastRenderedPageBreak/>
        <w:t>Control variables</w:t>
      </w:r>
      <w:r w:rsidR="00CD1C11">
        <w:t xml:space="preserve">, </w:t>
      </w:r>
      <w:r>
        <w:t>leverage ratio and company size</w:t>
      </w:r>
      <w:r w:rsidR="00CD1C11">
        <w:t>,</w:t>
      </w:r>
      <w:r>
        <w:t xml:space="preserve"> have positive correlation. </w:t>
      </w:r>
      <w:r w:rsidR="00CD1C11">
        <w:t xml:space="preserve">Leverage ratio has negative correlation with companies’ profitability. </w:t>
      </w:r>
    </w:p>
    <w:p w14:paraId="619D3808" w14:textId="2077A4F4" w:rsidR="005B67CB" w:rsidRDefault="005B67CB" w:rsidP="005C7A1D">
      <w:pPr>
        <w:pStyle w:val="Heading3"/>
      </w:pPr>
      <w:r>
        <w:t xml:space="preserve">Test </w:t>
      </w:r>
    </w:p>
    <w:p w14:paraId="7E2359C0" w14:textId="773483C3" w:rsidR="00AD3F3F" w:rsidRDefault="00AD3F3F" w:rsidP="00AD3F3F">
      <w:r>
        <w:t>Summary of the tests for model (</w:t>
      </w:r>
      <w:r w:rsidR="00FA4AD1">
        <w:t>3</w:t>
      </w:r>
      <w:r>
        <w:t>) and (</w:t>
      </w:r>
      <w:r w:rsidR="00FA4AD1">
        <w:t>4</w:t>
      </w:r>
      <w:r>
        <w:t>) are given below.</w:t>
      </w:r>
    </w:p>
    <w:p w14:paraId="2D371EDA" w14:textId="302FCBEB" w:rsidR="00AD3F3F" w:rsidRPr="00AD3F3F" w:rsidRDefault="00AD3F3F" w:rsidP="00AD3F3F">
      <w:pPr>
        <w:pStyle w:val="Caption"/>
        <w:keepNext/>
        <w:jc w:val="center"/>
        <w:rPr>
          <w:b/>
          <w:bCs/>
          <w:i w:val="0"/>
          <w:iCs w:val="0"/>
          <w:color w:val="000000" w:themeColor="text1"/>
          <w:sz w:val="24"/>
          <w:szCs w:val="24"/>
        </w:rPr>
      </w:pPr>
      <w:r w:rsidRPr="00AD3F3F">
        <w:rPr>
          <w:b/>
          <w:bCs/>
          <w:i w:val="0"/>
          <w:iCs w:val="0"/>
          <w:color w:val="000000" w:themeColor="text1"/>
          <w:sz w:val="24"/>
          <w:szCs w:val="24"/>
        </w:rPr>
        <w:t xml:space="preserve">Table </w:t>
      </w:r>
      <w:r w:rsidRPr="00AD3F3F">
        <w:rPr>
          <w:b/>
          <w:bCs/>
          <w:i w:val="0"/>
          <w:iCs w:val="0"/>
          <w:color w:val="000000" w:themeColor="text1"/>
          <w:sz w:val="24"/>
          <w:szCs w:val="24"/>
        </w:rPr>
        <w:fldChar w:fldCharType="begin"/>
      </w:r>
      <w:r w:rsidRPr="00AD3F3F">
        <w:rPr>
          <w:b/>
          <w:bCs/>
          <w:i w:val="0"/>
          <w:iCs w:val="0"/>
          <w:color w:val="000000" w:themeColor="text1"/>
          <w:sz w:val="24"/>
          <w:szCs w:val="24"/>
        </w:rPr>
        <w:instrText xml:space="preserve"> SEQ Table \* ARABIC </w:instrText>
      </w:r>
      <w:r w:rsidRPr="00AD3F3F">
        <w:rPr>
          <w:b/>
          <w:bCs/>
          <w:i w:val="0"/>
          <w:iCs w:val="0"/>
          <w:color w:val="000000" w:themeColor="text1"/>
          <w:sz w:val="24"/>
          <w:szCs w:val="24"/>
        </w:rPr>
        <w:fldChar w:fldCharType="separate"/>
      </w:r>
      <w:r>
        <w:rPr>
          <w:b/>
          <w:bCs/>
          <w:i w:val="0"/>
          <w:iCs w:val="0"/>
          <w:noProof/>
          <w:color w:val="000000" w:themeColor="text1"/>
          <w:sz w:val="24"/>
          <w:szCs w:val="24"/>
        </w:rPr>
        <w:t>9</w:t>
      </w:r>
      <w:r w:rsidRPr="00AD3F3F">
        <w:rPr>
          <w:b/>
          <w:bCs/>
          <w:i w:val="0"/>
          <w:iCs w:val="0"/>
          <w:color w:val="000000" w:themeColor="text1"/>
          <w:sz w:val="24"/>
          <w:szCs w:val="24"/>
        </w:rPr>
        <w:fldChar w:fldCharType="end"/>
      </w:r>
      <w:r w:rsidRPr="00AD3F3F">
        <w:rPr>
          <w:b/>
          <w:bCs/>
          <w:i w:val="0"/>
          <w:iCs w:val="0"/>
          <w:color w:val="000000" w:themeColor="text1"/>
          <w:sz w:val="24"/>
          <w:szCs w:val="24"/>
        </w:rPr>
        <w:t>. Summary of Tests for (</w:t>
      </w:r>
      <w:r>
        <w:rPr>
          <w:b/>
          <w:bCs/>
          <w:i w:val="0"/>
          <w:iCs w:val="0"/>
          <w:color w:val="000000" w:themeColor="text1"/>
          <w:sz w:val="24"/>
          <w:szCs w:val="24"/>
        </w:rPr>
        <w:t>3</w:t>
      </w:r>
      <w:r w:rsidRPr="00AD3F3F">
        <w:rPr>
          <w:b/>
          <w:bCs/>
          <w:i w:val="0"/>
          <w:iCs w:val="0"/>
          <w:color w:val="000000" w:themeColor="text1"/>
          <w:sz w:val="24"/>
          <w:szCs w:val="24"/>
        </w:rPr>
        <w:t>),(</w:t>
      </w:r>
      <w:r>
        <w:rPr>
          <w:b/>
          <w:bCs/>
          <w:i w:val="0"/>
          <w:iCs w:val="0"/>
          <w:color w:val="000000" w:themeColor="text1"/>
          <w:sz w:val="24"/>
          <w:szCs w:val="24"/>
        </w:rPr>
        <w:t>4</w:t>
      </w:r>
      <w:r w:rsidRPr="00AD3F3F">
        <w:rPr>
          <w:b/>
          <w:bCs/>
          <w:i w:val="0"/>
          <w:iCs w:val="0"/>
          <w:color w:val="000000" w:themeColor="text1"/>
          <w:sz w:val="24"/>
          <w:szCs w:val="24"/>
        </w:rPr>
        <w:t>)</w:t>
      </w:r>
    </w:p>
    <w:tbl>
      <w:tblPr>
        <w:tblStyle w:val="TableGrid"/>
        <w:tblW w:w="0" w:type="auto"/>
        <w:jc w:val="center"/>
        <w:tblLook w:val="04A0" w:firstRow="1" w:lastRow="0" w:firstColumn="1" w:lastColumn="0" w:noHBand="0" w:noVBand="1"/>
      </w:tblPr>
      <w:tblGrid>
        <w:gridCol w:w="3823"/>
        <w:gridCol w:w="1701"/>
        <w:gridCol w:w="1559"/>
      </w:tblGrid>
      <w:tr w:rsidR="00AD3F3F" w14:paraId="4AA18B4B" w14:textId="77777777" w:rsidTr="00B1089F">
        <w:trPr>
          <w:jc w:val="center"/>
        </w:trPr>
        <w:tc>
          <w:tcPr>
            <w:tcW w:w="3823" w:type="dxa"/>
          </w:tcPr>
          <w:p w14:paraId="36A74DAA" w14:textId="77777777" w:rsidR="00AD3F3F" w:rsidRPr="00AD3F3F" w:rsidRDefault="00AD3F3F" w:rsidP="00B1089F">
            <w:pPr>
              <w:rPr>
                <w:b/>
                <w:bCs/>
              </w:rPr>
            </w:pPr>
            <w:r w:rsidRPr="00AD3F3F">
              <w:rPr>
                <w:b/>
                <w:bCs/>
              </w:rPr>
              <w:t>Tests</w:t>
            </w:r>
          </w:p>
        </w:tc>
        <w:tc>
          <w:tcPr>
            <w:tcW w:w="1701" w:type="dxa"/>
          </w:tcPr>
          <w:p w14:paraId="4B5B3CA3" w14:textId="2D1B2B78" w:rsidR="00AD3F3F" w:rsidRPr="004D7046" w:rsidRDefault="00AD3F3F" w:rsidP="00B1089F">
            <w:pPr>
              <w:rPr>
                <w:b/>
                <w:bCs/>
              </w:rPr>
            </w:pPr>
            <w:r w:rsidRPr="004D7046">
              <w:rPr>
                <w:b/>
                <w:bCs/>
              </w:rPr>
              <w:t>(</w:t>
            </w:r>
            <w:r>
              <w:rPr>
                <w:b/>
                <w:bCs/>
              </w:rPr>
              <w:t>3</w:t>
            </w:r>
            <w:r w:rsidRPr="004D7046">
              <w:rPr>
                <w:b/>
                <w:bCs/>
              </w:rPr>
              <w:t>) p value</w:t>
            </w:r>
          </w:p>
        </w:tc>
        <w:tc>
          <w:tcPr>
            <w:tcW w:w="1559" w:type="dxa"/>
          </w:tcPr>
          <w:p w14:paraId="063216CE" w14:textId="1519EDFC" w:rsidR="00AD3F3F" w:rsidRPr="004D7046" w:rsidRDefault="00AD3F3F" w:rsidP="00B1089F">
            <w:pPr>
              <w:rPr>
                <w:b/>
                <w:bCs/>
              </w:rPr>
            </w:pPr>
            <w:r w:rsidRPr="004D7046">
              <w:rPr>
                <w:b/>
                <w:bCs/>
              </w:rPr>
              <w:t>(</w:t>
            </w:r>
            <w:r>
              <w:rPr>
                <w:b/>
                <w:bCs/>
              </w:rPr>
              <w:t>4</w:t>
            </w:r>
            <w:r w:rsidRPr="004D7046">
              <w:rPr>
                <w:b/>
                <w:bCs/>
              </w:rPr>
              <w:t xml:space="preserve">) p value </w:t>
            </w:r>
          </w:p>
        </w:tc>
      </w:tr>
      <w:tr w:rsidR="00AD3F3F" w14:paraId="0532F24B" w14:textId="77777777" w:rsidTr="00B1089F">
        <w:trPr>
          <w:jc w:val="center"/>
        </w:trPr>
        <w:tc>
          <w:tcPr>
            <w:tcW w:w="3823" w:type="dxa"/>
          </w:tcPr>
          <w:p w14:paraId="32698766" w14:textId="77777777" w:rsidR="00AD3F3F" w:rsidRPr="004D7046" w:rsidRDefault="00AD3F3F" w:rsidP="00B1089F">
            <w:pPr>
              <w:rPr>
                <w:b/>
                <w:bCs/>
              </w:rPr>
            </w:pPr>
            <w:r w:rsidRPr="004D7046">
              <w:rPr>
                <w:b/>
                <w:bCs/>
              </w:rPr>
              <w:t>F Test</w:t>
            </w:r>
          </w:p>
        </w:tc>
        <w:tc>
          <w:tcPr>
            <w:tcW w:w="1701" w:type="dxa"/>
          </w:tcPr>
          <w:p w14:paraId="157C3504" w14:textId="2AD4AEED" w:rsidR="00AD3F3F" w:rsidRDefault="004248A7" w:rsidP="00B1089F">
            <w:r w:rsidRPr="004248A7">
              <w:t>0</w:t>
            </w:r>
            <w:r w:rsidR="00085C3E">
              <w:t>.</w:t>
            </w:r>
            <w:r w:rsidRPr="004248A7">
              <w:t>0001</w:t>
            </w:r>
          </w:p>
        </w:tc>
        <w:tc>
          <w:tcPr>
            <w:tcW w:w="1559" w:type="dxa"/>
          </w:tcPr>
          <w:p w14:paraId="590A8F93" w14:textId="672E5A58" w:rsidR="00AD3F3F" w:rsidRDefault="00FA4AD1" w:rsidP="00B1089F">
            <w:r w:rsidRPr="00FA4AD1">
              <w:t>0</w:t>
            </w:r>
            <w:r w:rsidR="00085C3E">
              <w:t>.</w:t>
            </w:r>
            <w:r w:rsidRPr="00FA4AD1">
              <w:t>001</w:t>
            </w:r>
            <w:r>
              <w:t>1</w:t>
            </w:r>
          </w:p>
        </w:tc>
      </w:tr>
      <w:tr w:rsidR="00AD3F3F" w14:paraId="2AE9E249" w14:textId="77777777" w:rsidTr="00B1089F">
        <w:trPr>
          <w:jc w:val="center"/>
        </w:trPr>
        <w:tc>
          <w:tcPr>
            <w:tcW w:w="3823" w:type="dxa"/>
          </w:tcPr>
          <w:p w14:paraId="0E85CC57" w14:textId="77777777" w:rsidR="00AD3F3F" w:rsidRPr="004D7046" w:rsidRDefault="00AD3F3F" w:rsidP="00B1089F">
            <w:pPr>
              <w:rPr>
                <w:b/>
                <w:bCs/>
              </w:rPr>
            </w:pPr>
            <w:r w:rsidRPr="004D7046">
              <w:rPr>
                <w:b/>
                <w:bCs/>
              </w:rPr>
              <w:t>Hausman Test</w:t>
            </w:r>
          </w:p>
        </w:tc>
        <w:tc>
          <w:tcPr>
            <w:tcW w:w="1701" w:type="dxa"/>
          </w:tcPr>
          <w:p w14:paraId="3DFCD5B6" w14:textId="2108EF9A" w:rsidR="00AD3F3F" w:rsidRDefault="004248A7" w:rsidP="00B1089F">
            <w:r w:rsidRPr="004248A7">
              <w:t>0</w:t>
            </w:r>
            <w:r w:rsidR="00085C3E">
              <w:t>.</w:t>
            </w:r>
            <w:r w:rsidRPr="004248A7">
              <w:t>8451</w:t>
            </w:r>
          </w:p>
        </w:tc>
        <w:tc>
          <w:tcPr>
            <w:tcW w:w="1559" w:type="dxa"/>
          </w:tcPr>
          <w:p w14:paraId="279F721F" w14:textId="34BC2FA1" w:rsidR="00AD3F3F" w:rsidRDefault="00FA4AD1" w:rsidP="00B1089F">
            <w:r w:rsidRPr="00FA4AD1">
              <w:t>0</w:t>
            </w:r>
            <w:r w:rsidR="00085C3E">
              <w:t>.</w:t>
            </w:r>
            <w:r w:rsidRPr="00FA4AD1">
              <w:t>9953</w:t>
            </w:r>
          </w:p>
        </w:tc>
      </w:tr>
      <w:tr w:rsidR="00AD3F3F" w14:paraId="0B28846D" w14:textId="77777777" w:rsidTr="00B1089F">
        <w:trPr>
          <w:jc w:val="center"/>
        </w:trPr>
        <w:tc>
          <w:tcPr>
            <w:tcW w:w="3823" w:type="dxa"/>
          </w:tcPr>
          <w:p w14:paraId="699AC7E2" w14:textId="77777777" w:rsidR="00AD3F3F" w:rsidRPr="004D7046" w:rsidRDefault="00AD3F3F" w:rsidP="00B1089F">
            <w:pPr>
              <w:rPr>
                <w:b/>
                <w:bCs/>
              </w:rPr>
            </w:pPr>
            <w:r w:rsidRPr="004D7046">
              <w:rPr>
                <w:b/>
                <w:bCs/>
              </w:rPr>
              <w:t>Breusch-Godfrey/Wooldridge Test</w:t>
            </w:r>
          </w:p>
        </w:tc>
        <w:tc>
          <w:tcPr>
            <w:tcW w:w="1701" w:type="dxa"/>
          </w:tcPr>
          <w:p w14:paraId="71F3203C" w14:textId="248F3FB2" w:rsidR="00AD3F3F" w:rsidRDefault="004248A7" w:rsidP="00B1089F">
            <w:r w:rsidRPr="004248A7">
              <w:rPr>
                <w:bCs/>
              </w:rPr>
              <w:t>0</w:t>
            </w:r>
            <w:r w:rsidR="00085C3E">
              <w:rPr>
                <w:bCs/>
              </w:rPr>
              <w:t>.</w:t>
            </w:r>
            <w:r w:rsidRPr="004248A7">
              <w:rPr>
                <w:bCs/>
              </w:rPr>
              <w:t>4058</w:t>
            </w:r>
          </w:p>
        </w:tc>
        <w:tc>
          <w:tcPr>
            <w:tcW w:w="1559" w:type="dxa"/>
          </w:tcPr>
          <w:p w14:paraId="172896A9" w14:textId="594F4142" w:rsidR="00AD3F3F" w:rsidRDefault="00FA4AD1" w:rsidP="00B1089F">
            <w:r w:rsidRPr="00FA4AD1">
              <w:t>0</w:t>
            </w:r>
            <w:r w:rsidR="00085C3E">
              <w:t>.</w:t>
            </w:r>
            <w:r w:rsidRPr="00FA4AD1">
              <w:t>2421</w:t>
            </w:r>
          </w:p>
        </w:tc>
      </w:tr>
      <w:tr w:rsidR="00AD3F3F" w14:paraId="5579758B" w14:textId="77777777" w:rsidTr="00B1089F">
        <w:trPr>
          <w:jc w:val="center"/>
        </w:trPr>
        <w:tc>
          <w:tcPr>
            <w:tcW w:w="3823" w:type="dxa"/>
          </w:tcPr>
          <w:p w14:paraId="2C6CF176" w14:textId="77777777" w:rsidR="00AD3F3F" w:rsidRPr="004D7046" w:rsidRDefault="00AD3F3F" w:rsidP="00B1089F">
            <w:pPr>
              <w:rPr>
                <w:b/>
                <w:bCs/>
              </w:rPr>
            </w:pPr>
            <w:r w:rsidRPr="004D7046">
              <w:rPr>
                <w:b/>
                <w:bCs/>
              </w:rPr>
              <w:t>Breusch-Pagan Test</w:t>
            </w:r>
          </w:p>
        </w:tc>
        <w:tc>
          <w:tcPr>
            <w:tcW w:w="1701" w:type="dxa"/>
          </w:tcPr>
          <w:p w14:paraId="6A78079E" w14:textId="4A366FBF" w:rsidR="00AD3F3F" w:rsidRDefault="004248A7" w:rsidP="00B1089F">
            <w:r w:rsidRPr="004248A7">
              <w:rPr>
                <w:shd w:val="clear" w:color="auto" w:fill="FFFFFF"/>
              </w:rPr>
              <w:t>0</w:t>
            </w:r>
            <w:r w:rsidR="00085C3E">
              <w:rPr>
                <w:shd w:val="clear" w:color="auto" w:fill="FFFFFF"/>
              </w:rPr>
              <w:t>.</w:t>
            </w:r>
            <w:r w:rsidRPr="004248A7">
              <w:rPr>
                <w:shd w:val="clear" w:color="auto" w:fill="FFFFFF"/>
              </w:rPr>
              <w:t>1381</w:t>
            </w:r>
          </w:p>
        </w:tc>
        <w:tc>
          <w:tcPr>
            <w:tcW w:w="1559" w:type="dxa"/>
          </w:tcPr>
          <w:p w14:paraId="19C92ABE" w14:textId="77516BF4" w:rsidR="00AD3F3F" w:rsidRDefault="00FA4AD1" w:rsidP="00B1089F">
            <w:r w:rsidRPr="00FA4AD1">
              <w:t>0</w:t>
            </w:r>
            <w:r w:rsidR="00085C3E">
              <w:t>.</w:t>
            </w:r>
            <w:r w:rsidRPr="00FA4AD1">
              <w:t>3735</w:t>
            </w:r>
          </w:p>
        </w:tc>
      </w:tr>
      <w:tr w:rsidR="00AD3F3F" w14:paraId="081BB11A" w14:textId="77777777" w:rsidTr="00B1089F">
        <w:trPr>
          <w:jc w:val="center"/>
        </w:trPr>
        <w:tc>
          <w:tcPr>
            <w:tcW w:w="7083" w:type="dxa"/>
            <w:gridSpan w:val="3"/>
          </w:tcPr>
          <w:p w14:paraId="2F9F2A04" w14:textId="126D3AFC" w:rsidR="00AD3F3F" w:rsidRDefault="00AD3F3F" w:rsidP="00B1089F">
            <w:pPr>
              <w:jc w:val="center"/>
            </w:pPr>
            <w:r>
              <w:t xml:space="preserve">Both for (3) and (4) random effects are suitable. There is no serial correlation </w:t>
            </w:r>
            <w:r w:rsidR="00A10091">
              <w:t>or</w:t>
            </w:r>
            <w:r>
              <w:t xml:space="preserve"> </w:t>
            </w:r>
            <w:r w:rsidRPr="00B82BC3">
              <w:rPr>
                <w:shd w:val="clear" w:color="auto" w:fill="FFFFFF"/>
              </w:rPr>
              <w:t>h</w:t>
            </w:r>
            <w:r>
              <w:rPr>
                <w:shd w:val="clear" w:color="auto" w:fill="FFFFFF"/>
              </w:rPr>
              <w:t>etero</w:t>
            </w:r>
            <w:r w:rsidRPr="00B82BC3">
              <w:rPr>
                <w:shd w:val="clear" w:color="auto" w:fill="FFFFFF"/>
              </w:rPr>
              <w:t>scedasticity.</w:t>
            </w:r>
          </w:p>
        </w:tc>
      </w:tr>
    </w:tbl>
    <w:p w14:paraId="28FFF33E" w14:textId="77777777" w:rsidR="00AD3F3F" w:rsidRPr="00AD3F3F" w:rsidRDefault="00AD3F3F" w:rsidP="00AD3F3F"/>
    <w:p w14:paraId="48205C31" w14:textId="371F3940" w:rsidR="00D01396" w:rsidRDefault="00D01396" w:rsidP="005C7A1D">
      <w:pPr>
        <w:pStyle w:val="Heading3"/>
      </w:pPr>
      <w:r>
        <w:t>Regression</w:t>
      </w:r>
    </w:p>
    <w:p w14:paraId="3FEE3511" w14:textId="307693D6" w:rsidR="001801CF" w:rsidRPr="00E53801" w:rsidRDefault="00E53801" w:rsidP="00E53801">
      <w:r>
        <w:t>Regression results for Model (3) and (4) are given below.</w:t>
      </w:r>
    </w:p>
    <w:p w14:paraId="7B01EA27" w14:textId="527CA29B" w:rsidR="007C12D8" w:rsidRPr="007C12D8" w:rsidRDefault="007C12D8" w:rsidP="007C12D8">
      <w:pPr>
        <w:pStyle w:val="Caption"/>
        <w:keepNext/>
        <w:jc w:val="center"/>
        <w:rPr>
          <w:b/>
          <w:bCs/>
          <w:i w:val="0"/>
          <w:iCs w:val="0"/>
          <w:color w:val="000000" w:themeColor="text1"/>
          <w:sz w:val="24"/>
          <w:szCs w:val="24"/>
        </w:rPr>
      </w:pPr>
      <w:r w:rsidRPr="007C12D8">
        <w:rPr>
          <w:b/>
          <w:bCs/>
          <w:i w:val="0"/>
          <w:iCs w:val="0"/>
          <w:color w:val="000000" w:themeColor="text1"/>
          <w:sz w:val="24"/>
          <w:szCs w:val="24"/>
        </w:rPr>
        <w:lastRenderedPageBreak/>
        <w:t xml:space="preserve">Table </w:t>
      </w:r>
      <w:r w:rsidRPr="007C12D8">
        <w:rPr>
          <w:b/>
          <w:bCs/>
          <w:i w:val="0"/>
          <w:iCs w:val="0"/>
          <w:color w:val="000000" w:themeColor="text1"/>
          <w:sz w:val="24"/>
          <w:szCs w:val="24"/>
        </w:rPr>
        <w:fldChar w:fldCharType="begin"/>
      </w:r>
      <w:r w:rsidRPr="007C12D8">
        <w:rPr>
          <w:b/>
          <w:bCs/>
          <w:i w:val="0"/>
          <w:iCs w:val="0"/>
          <w:color w:val="000000" w:themeColor="text1"/>
          <w:sz w:val="24"/>
          <w:szCs w:val="24"/>
        </w:rPr>
        <w:instrText xml:space="preserve"> SEQ Table \* ARABIC </w:instrText>
      </w:r>
      <w:r w:rsidRPr="007C12D8">
        <w:rPr>
          <w:b/>
          <w:bCs/>
          <w:i w:val="0"/>
          <w:iCs w:val="0"/>
          <w:color w:val="000000" w:themeColor="text1"/>
          <w:sz w:val="24"/>
          <w:szCs w:val="24"/>
        </w:rPr>
        <w:fldChar w:fldCharType="separate"/>
      </w:r>
      <w:r w:rsidR="00AD3F3F">
        <w:rPr>
          <w:b/>
          <w:bCs/>
          <w:i w:val="0"/>
          <w:iCs w:val="0"/>
          <w:noProof/>
          <w:color w:val="000000" w:themeColor="text1"/>
          <w:sz w:val="24"/>
          <w:szCs w:val="24"/>
        </w:rPr>
        <w:t>9</w:t>
      </w:r>
      <w:r w:rsidRPr="007C12D8">
        <w:rPr>
          <w:b/>
          <w:bCs/>
          <w:i w:val="0"/>
          <w:iCs w:val="0"/>
          <w:color w:val="000000" w:themeColor="text1"/>
          <w:sz w:val="24"/>
          <w:szCs w:val="24"/>
        </w:rPr>
        <w:fldChar w:fldCharType="end"/>
      </w:r>
      <w:r w:rsidRPr="007C12D8">
        <w:rPr>
          <w:b/>
          <w:bCs/>
          <w:i w:val="0"/>
          <w:iCs w:val="0"/>
          <w:color w:val="000000" w:themeColor="text1"/>
          <w:sz w:val="24"/>
          <w:szCs w:val="24"/>
        </w:rPr>
        <w:t>. Random Effects Regression Results for (3), (4)</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2"/>
        <w:gridCol w:w="1262"/>
        <w:gridCol w:w="1473"/>
      </w:tblGrid>
      <w:tr w:rsidR="00566A41" w:rsidRPr="00566A41" w14:paraId="066E01BC" w14:textId="77777777" w:rsidTr="005E5E1A">
        <w:trPr>
          <w:tblHeader/>
          <w:tblCellSpacing w:w="15" w:type="dxa"/>
          <w:jc w:val="center"/>
        </w:trPr>
        <w:tc>
          <w:tcPr>
            <w:tcW w:w="0" w:type="auto"/>
            <w:gridSpan w:val="3"/>
            <w:vAlign w:val="center"/>
            <w:hideMark/>
          </w:tcPr>
          <w:p w14:paraId="1AA6A754" w14:textId="5B01C09C" w:rsidR="00566A41" w:rsidRPr="005E5E1A" w:rsidRDefault="00E32396" w:rsidP="007C12D8">
            <w:pPr>
              <w:spacing w:line="240" w:lineRule="auto"/>
              <w:jc w:val="center"/>
              <w:rPr>
                <w:b/>
                <w:bCs/>
              </w:rPr>
            </w:pPr>
            <w:r w:rsidRPr="005E5E1A">
              <w:rPr>
                <w:b/>
                <w:bCs/>
              </w:rPr>
              <w:t>“</w:t>
            </w:r>
            <w:r w:rsidR="00AA42F2" w:rsidRPr="005E5E1A">
              <w:rPr>
                <w:b/>
                <w:bCs/>
              </w:rPr>
              <w:t>Responsible</w:t>
            </w:r>
            <w:r w:rsidRPr="005E5E1A">
              <w:rPr>
                <w:b/>
                <w:bCs/>
              </w:rPr>
              <w:t>”</w:t>
            </w:r>
            <w:r w:rsidR="00AA42F2" w:rsidRPr="005E5E1A">
              <w:rPr>
                <w:b/>
                <w:bCs/>
              </w:rPr>
              <w:t xml:space="preserve"> Companies</w:t>
            </w:r>
          </w:p>
        </w:tc>
      </w:tr>
      <w:tr w:rsidR="005B3402" w:rsidRPr="00566A41" w14:paraId="63C0B708" w14:textId="77777777" w:rsidTr="005E5E1A">
        <w:trPr>
          <w:tblHeader/>
          <w:tblCellSpacing w:w="15" w:type="dxa"/>
          <w:jc w:val="center"/>
        </w:trPr>
        <w:tc>
          <w:tcPr>
            <w:tcW w:w="0" w:type="auto"/>
            <w:vAlign w:val="center"/>
            <w:hideMark/>
          </w:tcPr>
          <w:p w14:paraId="45452FF6" w14:textId="77777777" w:rsidR="00566A41" w:rsidRPr="00AA42F2" w:rsidRDefault="00566A41" w:rsidP="007F1E7B">
            <w:pPr>
              <w:spacing w:line="240" w:lineRule="auto"/>
            </w:pPr>
          </w:p>
        </w:tc>
        <w:tc>
          <w:tcPr>
            <w:tcW w:w="0" w:type="auto"/>
            <w:gridSpan w:val="2"/>
            <w:vAlign w:val="center"/>
            <w:hideMark/>
          </w:tcPr>
          <w:p w14:paraId="0A4DBFB8" w14:textId="77777777" w:rsidR="00566A41" w:rsidRPr="00566A41" w:rsidRDefault="00566A41" w:rsidP="007534C7">
            <w:pPr>
              <w:spacing w:line="240" w:lineRule="auto"/>
              <w:jc w:val="center"/>
            </w:pPr>
            <w:r w:rsidRPr="00566A41">
              <w:rPr>
                <w:rStyle w:val="Emphasis"/>
              </w:rPr>
              <w:t>Dependent variable:</w:t>
            </w:r>
          </w:p>
        </w:tc>
      </w:tr>
      <w:tr w:rsidR="005B3402" w:rsidRPr="00566A41" w14:paraId="0F5BEF50" w14:textId="77777777" w:rsidTr="005E5E1A">
        <w:trPr>
          <w:tblHeader/>
          <w:tblCellSpacing w:w="15" w:type="dxa"/>
          <w:jc w:val="center"/>
        </w:trPr>
        <w:tc>
          <w:tcPr>
            <w:tcW w:w="0" w:type="auto"/>
            <w:vAlign w:val="center"/>
            <w:hideMark/>
          </w:tcPr>
          <w:p w14:paraId="733A88CB" w14:textId="77777777" w:rsidR="00566A41" w:rsidRPr="00566A41" w:rsidRDefault="00566A41" w:rsidP="007F1E7B">
            <w:pPr>
              <w:spacing w:line="240" w:lineRule="auto"/>
            </w:pPr>
          </w:p>
        </w:tc>
        <w:tc>
          <w:tcPr>
            <w:tcW w:w="0" w:type="auto"/>
            <w:gridSpan w:val="2"/>
            <w:vAlign w:val="center"/>
            <w:hideMark/>
          </w:tcPr>
          <w:p w14:paraId="279EBA40" w14:textId="77777777" w:rsidR="00566A41" w:rsidRPr="00566A41" w:rsidRDefault="00566A41" w:rsidP="007534C7">
            <w:pPr>
              <w:spacing w:line="240" w:lineRule="auto"/>
              <w:jc w:val="center"/>
            </w:pPr>
          </w:p>
        </w:tc>
      </w:tr>
      <w:tr w:rsidR="005B3402" w:rsidRPr="00566A41" w14:paraId="3EA58D85" w14:textId="77777777" w:rsidTr="005E5E1A">
        <w:trPr>
          <w:tblHeader/>
          <w:tblCellSpacing w:w="15" w:type="dxa"/>
          <w:jc w:val="center"/>
        </w:trPr>
        <w:tc>
          <w:tcPr>
            <w:tcW w:w="0" w:type="auto"/>
            <w:vAlign w:val="center"/>
            <w:hideMark/>
          </w:tcPr>
          <w:p w14:paraId="54F87D2B" w14:textId="77777777" w:rsidR="00566A41" w:rsidRPr="00566A41" w:rsidRDefault="00566A41" w:rsidP="007F1E7B">
            <w:pPr>
              <w:spacing w:line="240" w:lineRule="auto"/>
            </w:pPr>
          </w:p>
        </w:tc>
        <w:tc>
          <w:tcPr>
            <w:tcW w:w="0" w:type="auto"/>
            <w:gridSpan w:val="2"/>
            <w:vAlign w:val="center"/>
            <w:hideMark/>
          </w:tcPr>
          <w:p w14:paraId="5BE6C1CC" w14:textId="77777777" w:rsidR="00566A41" w:rsidRPr="00566A41" w:rsidRDefault="00566A41" w:rsidP="007534C7">
            <w:pPr>
              <w:spacing w:line="240" w:lineRule="auto"/>
              <w:jc w:val="center"/>
            </w:pPr>
            <w:r w:rsidRPr="00566A41">
              <w:t>ROA</w:t>
            </w:r>
          </w:p>
        </w:tc>
      </w:tr>
      <w:tr w:rsidR="00566A41" w:rsidRPr="00566A41" w14:paraId="53CBF369" w14:textId="77777777" w:rsidTr="005E5E1A">
        <w:trPr>
          <w:tblHeader/>
          <w:tblCellSpacing w:w="15" w:type="dxa"/>
          <w:jc w:val="center"/>
        </w:trPr>
        <w:tc>
          <w:tcPr>
            <w:tcW w:w="0" w:type="auto"/>
            <w:vAlign w:val="center"/>
            <w:hideMark/>
          </w:tcPr>
          <w:p w14:paraId="7032FC0F" w14:textId="77777777" w:rsidR="00566A41" w:rsidRPr="00566A41" w:rsidRDefault="00566A41" w:rsidP="007F1E7B">
            <w:pPr>
              <w:spacing w:line="240" w:lineRule="auto"/>
            </w:pPr>
          </w:p>
        </w:tc>
        <w:tc>
          <w:tcPr>
            <w:tcW w:w="0" w:type="auto"/>
            <w:vAlign w:val="center"/>
            <w:hideMark/>
          </w:tcPr>
          <w:p w14:paraId="6EFCB5FF" w14:textId="29C96B91" w:rsidR="00566A41" w:rsidRPr="00566A41" w:rsidRDefault="00566A41" w:rsidP="007F1E7B">
            <w:pPr>
              <w:spacing w:line="240" w:lineRule="auto"/>
            </w:pPr>
            <w:r w:rsidRPr="00566A41">
              <w:t>(</w:t>
            </w:r>
            <w:r>
              <w:t>3</w:t>
            </w:r>
            <w:r w:rsidRPr="00566A41">
              <w:t>)</w:t>
            </w:r>
          </w:p>
        </w:tc>
        <w:tc>
          <w:tcPr>
            <w:tcW w:w="0" w:type="auto"/>
            <w:vAlign w:val="center"/>
            <w:hideMark/>
          </w:tcPr>
          <w:p w14:paraId="6FDEDCDD" w14:textId="6B713E50" w:rsidR="00566A41" w:rsidRPr="00566A41" w:rsidRDefault="00566A41" w:rsidP="007F1E7B">
            <w:pPr>
              <w:spacing w:line="240" w:lineRule="auto"/>
            </w:pPr>
            <w:r w:rsidRPr="00566A41">
              <w:t>(</w:t>
            </w:r>
            <w:r>
              <w:t>4</w:t>
            </w:r>
            <w:r w:rsidRPr="00566A41">
              <w:t>)</w:t>
            </w:r>
          </w:p>
        </w:tc>
      </w:tr>
      <w:tr w:rsidR="00566A41" w:rsidRPr="00566A41" w14:paraId="5C558B90" w14:textId="77777777" w:rsidTr="005E5E1A">
        <w:trPr>
          <w:tblHeader/>
          <w:tblCellSpacing w:w="15" w:type="dxa"/>
          <w:jc w:val="center"/>
        </w:trPr>
        <w:tc>
          <w:tcPr>
            <w:tcW w:w="0" w:type="auto"/>
            <w:gridSpan w:val="3"/>
            <w:vAlign w:val="center"/>
            <w:hideMark/>
          </w:tcPr>
          <w:p w14:paraId="5245D6FD" w14:textId="77777777" w:rsidR="00566A41" w:rsidRPr="00566A41" w:rsidRDefault="00566A41" w:rsidP="007F1E7B">
            <w:pPr>
              <w:spacing w:line="240" w:lineRule="auto"/>
            </w:pPr>
          </w:p>
        </w:tc>
      </w:tr>
      <w:tr w:rsidR="00566A41" w:rsidRPr="00566A41" w14:paraId="65A5B1DC" w14:textId="77777777" w:rsidTr="005E5E1A">
        <w:trPr>
          <w:tblHeader/>
          <w:tblCellSpacing w:w="15" w:type="dxa"/>
          <w:jc w:val="center"/>
        </w:trPr>
        <w:tc>
          <w:tcPr>
            <w:tcW w:w="0" w:type="auto"/>
            <w:vAlign w:val="center"/>
            <w:hideMark/>
          </w:tcPr>
          <w:p w14:paraId="58D8037B" w14:textId="77777777" w:rsidR="00566A41" w:rsidRPr="00566A41" w:rsidRDefault="00566A41" w:rsidP="007F1E7B">
            <w:pPr>
              <w:spacing w:line="240" w:lineRule="auto"/>
            </w:pPr>
            <w:r w:rsidRPr="00566A41">
              <w:t>ESG</w:t>
            </w:r>
          </w:p>
        </w:tc>
        <w:tc>
          <w:tcPr>
            <w:tcW w:w="0" w:type="auto"/>
            <w:vAlign w:val="center"/>
            <w:hideMark/>
          </w:tcPr>
          <w:p w14:paraId="720A5C4C" w14:textId="77777777" w:rsidR="00566A41" w:rsidRPr="00566A41" w:rsidRDefault="00566A41" w:rsidP="007F1E7B">
            <w:pPr>
              <w:spacing w:line="240" w:lineRule="auto"/>
            </w:pPr>
            <w:r w:rsidRPr="00566A41">
              <w:t>0.001</w:t>
            </w:r>
            <w:r w:rsidRPr="00566A41">
              <w:rPr>
                <w:vertAlign w:val="superscript"/>
              </w:rPr>
              <w:t>*</w:t>
            </w:r>
          </w:p>
        </w:tc>
        <w:tc>
          <w:tcPr>
            <w:tcW w:w="0" w:type="auto"/>
            <w:vAlign w:val="center"/>
            <w:hideMark/>
          </w:tcPr>
          <w:p w14:paraId="1283CEEA" w14:textId="77777777" w:rsidR="00566A41" w:rsidRPr="00566A41" w:rsidRDefault="00566A41" w:rsidP="007F1E7B">
            <w:pPr>
              <w:spacing w:line="240" w:lineRule="auto"/>
            </w:pPr>
          </w:p>
        </w:tc>
      </w:tr>
      <w:tr w:rsidR="00566A41" w:rsidRPr="00566A41" w14:paraId="7F35CD0E" w14:textId="77777777" w:rsidTr="005E5E1A">
        <w:trPr>
          <w:tblHeader/>
          <w:tblCellSpacing w:w="15" w:type="dxa"/>
          <w:jc w:val="center"/>
        </w:trPr>
        <w:tc>
          <w:tcPr>
            <w:tcW w:w="0" w:type="auto"/>
            <w:vAlign w:val="center"/>
            <w:hideMark/>
          </w:tcPr>
          <w:p w14:paraId="20A5305F" w14:textId="77777777" w:rsidR="00566A41" w:rsidRPr="00566A41" w:rsidRDefault="00566A41" w:rsidP="007F1E7B">
            <w:pPr>
              <w:spacing w:line="240" w:lineRule="auto"/>
            </w:pPr>
          </w:p>
        </w:tc>
        <w:tc>
          <w:tcPr>
            <w:tcW w:w="0" w:type="auto"/>
            <w:vAlign w:val="center"/>
            <w:hideMark/>
          </w:tcPr>
          <w:p w14:paraId="7C3D721E" w14:textId="77777777" w:rsidR="00566A41" w:rsidRPr="00566A41" w:rsidRDefault="00566A41" w:rsidP="007F1E7B">
            <w:pPr>
              <w:spacing w:line="240" w:lineRule="auto"/>
            </w:pPr>
            <w:r w:rsidRPr="00566A41">
              <w:t>(0.001)</w:t>
            </w:r>
          </w:p>
        </w:tc>
        <w:tc>
          <w:tcPr>
            <w:tcW w:w="0" w:type="auto"/>
            <w:vAlign w:val="center"/>
            <w:hideMark/>
          </w:tcPr>
          <w:p w14:paraId="5C4FDF49" w14:textId="77777777" w:rsidR="00566A41" w:rsidRPr="00566A41" w:rsidRDefault="00566A41" w:rsidP="007F1E7B">
            <w:pPr>
              <w:spacing w:line="240" w:lineRule="auto"/>
            </w:pPr>
          </w:p>
        </w:tc>
      </w:tr>
      <w:tr w:rsidR="00566A41" w:rsidRPr="00566A41" w14:paraId="5C6A711C" w14:textId="77777777" w:rsidTr="005E5E1A">
        <w:trPr>
          <w:tblHeader/>
          <w:tblCellSpacing w:w="15" w:type="dxa"/>
          <w:jc w:val="center"/>
        </w:trPr>
        <w:tc>
          <w:tcPr>
            <w:tcW w:w="0" w:type="auto"/>
            <w:vAlign w:val="center"/>
            <w:hideMark/>
          </w:tcPr>
          <w:p w14:paraId="4E08949C" w14:textId="77777777" w:rsidR="00566A41" w:rsidRPr="00566A41" w:rsidRDefault="00566A41" w:rsidP="007F1E7B">
            <w:pPr>
              <w:spacing w:line="240" w:lineRule="auto"/>
            </w:pPr>
          </w:p>
        </w:tc>
        <w:tc>
          <w:tcPr>
            <w:tcW w:w="0" w:type="auto"/>
            <w:vAlign w:val="center"/>
            <w:hideMark/>
          </w:tcPr>
          <w:p w14:paraId="3A3A0EB2" w14:textId="77777777" w:rsidR="00566A41" w:rsidRPr="00566A41" w:rsidRDefault="00566A41" w:rsidP="007F1E7B">
            <w:pPr>
              <w:spacing w:line="240" w:lineRule="auto"/>
            </w:pPr>
          </w:p>
        </w:tc>
        <w:tc>
          <w:tcPr>
            <w:tcW w:w="0" w:type="auto"/>
            <w:vAlign w:val="center"/>
            <w:hideMark/>
          </w:tcPr>
          <w:p w14:paraId="60529D53" w14:textId="77777777" w:rsidR="00566A41" w:rsidRPr="00566A41" w:rsidRDefault="00566A41" w:rsidP="007F1E7B">
            <w:pPr>
              <w:spacing w:line="240" w:lineRule="auto"/>
            </w:pPr>
          </w:p>
        </w:tc>
      </w:tr>
      <w:tr w:rsidR="00566A41" w:rsidRPr="00566A41" w14:paraId="71DB5458" w14:textId="77777777" w:rsidTr="005E5E1A">
        <w:trPr>
          <w:tblHeader/>
          <w:tblCellSpacing w:w="15" w:type="dxa"/>
          <w:jc w:val="center"/>
        </w:trPr>
        <w:tc>
          <w:tcPr>
            <w:tcW w:w="0" w:type="auto"/>
            <w:vAlign w:val="center"/>
            <w:hideMark/>
          </w:tcPr>
          <w:p w14:paraId="7A8237F4" w14:textId="77777777" w:rsidR="00566A41" w:rsidRPr="00566A41" w:rsidRDefault="00566A41" w:rsidP="007F1E7B">
            <w:pPr>
              <w:spacing w:line="240" w:lineRule="auto"/>
            </w:pPr>
            <w:r w:rsidRPr="00566A41">
              <w:t>E</w:t>
            </w:r>
          </w:p>
        </w:tc>
        <w:tc>
          <w:tcPr>
            <w:tcW w:w="0" w:type="auto"/>
            <w:vAlign w:val="center"/>
            <w:hideMark/>
          </w:tcPr>
          <w:p w14:paraId="70A98459" w14:textId="77777777" w:rsidR="00566A41" w:rsidRPr="00566A41" w:rsidRDefault="00566A41" w:rsidP="007F1E7B">
            <w:pPr>
              <w:spacing w:line="240" w:lineRule="auto"/>
            </w:pPr>
          </w:p>
        </w:tc>
        <w:tc>
          <w:tcPr>
            <w:tcW w:w="0" w:type="auto"/>
            <w:vAlign w:val="center"/>
            <w:hideMark/>
          </w:tcPr>
          <w:p w14:paraId="32473C26" w14:textId="77777777" w:rsidR="00566A41" w:rsidRPr="00566A41" w:rsidRDefault="00566A41" w:rsidP="007F1E7B">
            <w:pPr>
              <w:spacing w:line="240" w:lineRule="auto"/>
            </w:pPr>
            <w:r w:rsidRPr="00566A41">
              <w:t>-0.002</w:t>
            </w:r>
            <w:r w:rsidRPr="00566A41">
              <w:rPr>
                <w:vertAlign w:val="superscript"/>
              </w:rPr>
              <w:t>*</w:t>
            </w:r>
          </w:p>
        </w:tc>
      </w:tr>
      <w:tr w:rsidR="00566A41" w:rsidRPr="00566A41" w14:paraId="4CB20EF3" w14:textId="77777777" w:rsidTr="005E5E1A">
        <w:trPr>
          <w:tblHeader/>
          <w:tblCellSpacing w:w="15" w:type="dxa"/>
          <w:jc w:val="center"/>
        </w:trPr>
        <w:tc>
          <w:tcPr>
            <w:tcW w:w="0" w:type="auto"/>
            <w:vAlign w:val="center"/>
            <w:hideMark/>
          </w:tcPr>
          <w:p w14:paraId="063FAC4F" w14:textId="77777777" w:rsidR="00566A41" w:rsidRPr="00566A41" w:rsidRDefault="00566A41" w:rsidP="007F1E7B">
            <w:pPr>
              <w:spacing w:line="240" w:lineRule="auto"/>
            </w:pPr>
          </w:p>
        </w:tc>
        <w:tc>
          <w:tcPr>
            <w:tcW w:w="0" w:type="auto"/>
            <w:vAlign w:val="center"/>
            <w:hideMark/>
          </w:tcPr>
          <w:p w14:paraId="53C1FB62" w14:textId="77777777" w:rsidR="00566A41" w:rsidRPr="00566A41" w:rsidRDefault="00566A41" w:rsidP="007F1E7B">
            <w:pPr>
              <w:spacing w:line="240" w:lineRule="auto"/>
            </w:pPr>
          </w:p>
        </w:tc>
        <w:tc>
          <w:tcPr>
            <w:tcW w:w="0" w:type="auto"/>
            <w:vAlign w:val="center"/>
            <w:hideMark/>
          </w:tcPr>
          <w:p w14:paraId="53D5D0A4" w14:textId="77777777" w:rsidR="00566A41" w:rsidRPr="00566A41" w:rsidRDefault="00566A41" w:rsidP="007F1E7B">
            <w:pPr>
              <w:spacing w:line="240" w:lineRule="auto"/>
            </w:pPr>
            <w:r w:rsidRPr="00566A41">
              <w:t>(0.001)</w:t>
            </w:r>
          </w:p>
        </w:tc>
      </w:tr>
      <w:tr w:rsidR="00566A41" w:rsidRPr="00566A41" w14:paraId="547F1C8C" w14:textId="77777777" w:rsidTr="005E5E1A">
        <w:trPr>
          <w:tblHeader/>
          <w:tblCellSpacing w:w="15" w:type="dxa"/>
          <w:jc w:val="center"/>
        </w:trPr>
        <w:tc>
          <w:tcPr>
            <w:tcW w:w="0" w:type="auto"/>
            <w:vAlign w:val="center"/>
            <w:hideMark/>
          </w:tcPr>
          <w:p w14:paraId="65F46547" w14:textId="77777777" w:rsidR="00566A41" w:rsidRPr="00566A41" w:rsidRDefault="00566A41" w:rsidP="007F1E7B">
            <w:pPr>
              <w:spacing w:line="240" w:lineRule="auto"/>
            </w:pPr>
          </w:p>
        </w:tc>
        <w:tc>
          <w:tcPr>
            <w:tcW w:w="0" w:type="auto"/>
            <w:vAlign w:val="center"/>
            <w:hideMark/>
          </w:tcPr>
          <w:p w14:paraId="6BDE4F4C" w14:textId="77777777" w:rsidR="00566A41" w:rsidRPr="00566A41" w:rsidRDefault="00566A41" w:rsidP="007F1E7B">
            <w:pPr>
              <w:spacing w:line="240" w:lineRule="auto"/>
            </w:pPr>
          </w:p>
        </w:tc>
        <w:tc>
          <w:tcPr>
            <w:tcW w:w="0" w:type="auto"/>
            <w:vAlign w:val="center"/>
            <w:hideMark/>
          </w:tcPr>
          <w:p w14:paraId="4A951623" w14:textId="77777777" w:rsidR="00566A41" w:rsidRPr="00566A41" w:rsidRDefault="00566A41" w:rsidP="007F1E7B">
            <w:pPr>
              <w:spacing w:line="240" w:lineRule="auto"/>
            </w:pPr>
          </w:p>
        </w:tc>
      </w:tr>
      <w:tr w:rsidR="00566A41" w:rsidRPr="00566A41" w14:paraId="392C2826" w14:textId="77777777" w:rsidTr="005E5E1A">
        <w:trPr>
          <w:tblHeader/>
          <w:tblCellSpacing w:w="15" w:type="dxa"/>
          <w:jc w:val="center"/>
        </w:trPr>
        <w:tc>
          <w:tcPr>
            <w:tcW w:w="0" w:type="auto"/>
            <w:vAlign w:val="center"/>
            <w:hideMark/>
          </w:tcPr>
          <w:p w14:paraId="2B770CEA" w14:textId="77777777" w:rsidR="00566A41" w:rsidRPr="00566A41" w:rsidRDefault="00566A41" w:rsidP="007F1E7B">
            <w:pPr>
              <w:spacing w:line="240" w:lineRule="auto"/>
            </w:pPr>
            <w:r w:rsidRPr="00566A41">
              <w:t>S</w:t>
            </w:r>
          </w:p>
        </w:tc>
        <w:tc>
          <w:tcPr>
            <w:tcW w:w="0" w:type="auto"/>
            <w:vAlign w:val="center"/>
            <w:hideMark/>
          </w:tcPr>
          <w:p w14:paraId="11372F9F" w14:textId="77777777" w:rsidR="00566A41" w:rsidRPr="00566A41" w:rsidRDefault="00566A41" w:rsidP="007F1E7B">
            <w:pPr>
              <w:spacing w:line="240" w:lineRule="auto"/>
            </w:pPr>
          </w:p>
        </w:tc>
        <w:tc>
          <w:tcPr>
            <w:tcW w:w="0" w:type="auto"/>
            <w:vAlign w:val="center"/>
            <w:hideMark/>
          </w:tcPr>
          <w:p w14:paraId="0D2AAC99" w14:textId="77777777" w:rsidR="00566A41" w:rsidRPr="00566A41" w:rsidRDefault="00566A41" w:rsidP="007F1E7B">
            <w:pPr>
              <w:spacing w:line="240" w:lineRule="auto"/>
            </w:pPr>
            <w:r w:rsidRPr="00566A41">
              <w:t>0.003</w:t>
            </w:r>
            <w:r w:rsidRPr="00566A41">
              <w:rPr>
                <w:vertAlign w:val="superscript"/>
              </w:rPr>
              <w:t>**</w:t>
            </w:r>
          </w:p>
        </w:tc>
      </w:tr>
      <w:tr w:rsidR="00566A41" w:rsidRPr="00566A41" w14:paraId="7368736C" w14:textId="77777777" w:rsidTr="005E5E1A">
        <w:trPr>
          <w:tblHeader/>
          <w:tblCellSpacing w:w="15" w:type="dxa"/>
          <w:jc w:val="center"/>
        </w:trPr>
        <w:tc>
          <w:tcPr>
            <w:tcW w:w="0" w:type="auto"/>
            <w:vAlign w:val="center"/>
            <w:hideMark/>
          </w:tcPr>
          <w:p w14:paraId="6E0D06FA" w14:textId="77777777" w:rsidR="00566A41" w:rsidRPr="00566A41" w:rsidRDefault="00566A41" w:rsidP="007F1E7B">
            <w:pPr>
              <w:spacing w:line="240" w:lineRule="auto"/>
            </w:pPr>
          </w:p>
        </w:tc>
        <w:tc>
          <w:tcPr>
            <w:tcW w:w="0" w:type="auto"/>
            <w:vAlign w:val="center"/>
            <w:hideMark/>
          </w:tcPr>
          <w:p w14:paraId="04D1A879" w14:textId="77777777" w:rsidR="00566A41" w:rsidRPr="00566A41" w:rsidRDefault="00566A41" w:rsidP="007F1E7B">
            <w:pPr>
              <w:spacing w:line="240" w:lineRule="auto"/>
            </w:pPr>
          </w:p>
        </w:tc>
        <w:tc>
          <w:tcPr>
            <w:tcW w:w="0" w:type="auto"/>
            <w:vAlign w:val="center"/>
            <w:hideMark/>
          </w:tcPr>
          <w:p w14:paraId="7A38E2F9" w14:textId="77777777" w:rsidR="00566A41" w:rsidRPr="00566A41" w:rsidRDefault="00566A41" w:rsidP="007F1E7B">
            <w:pPr>
              <w:spacing w:line="240" w:lineRule="auto"/>
            </w:pPr>
            <w:r w:rsidRPr="00566A41">
              <w:t>(0.001)</w:t>
            </w:r>
          </w:p>
        </w:tc>
      </w:tr>
      <w:tr w:rsidR="00566A41" w:rsidRPr="00566A41" w14:paraId="52E639BC" w14:textId="77777777" w:rsidTr="005E5E1A">
        <w:trPr>
          <w:tblHeader/>
          <w:tblCellSpacing w:w="15" w:type="dxa"/>
          <w:jc w:val="center"/>
        </w:trPr>
        <w:tc>
          <w:tcPr>
            <w:tcW w:w="0" w:type="auto"/>
            <w:vAlign w:val="center"/>
            <w:hideMark/>
          </w:tcPr>
          <w:p w14:paraId="0920F7F0" w14:textId="77777777" w:rsidR="00566A41" w:rsidRPr="00566A41" w:rsidRDefault="00566A41" w:rsidP="007F1E7B">
            <w:pPr>
              <w:spacing w:line="240" w:lineRule="auto"/>
            </w:pPr>
          </w:p>
        </w:tc>
        <w:tc>
          <w:tcPr>
            <w:tcW w:w="0" w:type="auto"/>
            <w:vAlign w:val="center"/>
            <w:hideMark/>
          </w:tcPr>
          <w:p w14:paraId="50D475D9" w14:textId="77777777" w:rsidR="00566A41" w:rsidRPr="00566A41" w:rsidRDefault="00566A41" w:rsidP="007F1E7B">
            <w:pPr>
              <w:spacing w:line="240" w:lineRule="auto"/>
            </w:pPr>
          </w:p>
        </w:tc>
        <w:tc>
          <w:tcPr>
            <w:tcW w:w="0" w:type="auto"/>
            <w:vAlign w:val="center"/>
            <w:hideMark/>
          </w:tcPr>
          <w:p w14:paraId="01B9E080" w14:textId="77777777" w:rsidR="00566A41" w:rsidRPr="00566A41" w:rsidRDefault="00566A41" w:rsidP="007F1E7B">
            <w:pPr>
              <w:spacing w:line="240" w:lineRule="auto"/>
            </w:pPr>
          </w:p>
        </w:tc>
      </w:tr>
      <w:tr w:rsidR="00566A41" w:rsidRPr="00566A41" w14:paraId="047033A6" w14:textId="77777777" w:rsidTr="005E5E1A">
        <w:trPr>
          <w:tblHeader/>
          <w:tblCellSpacing w:w="15" w:type="dxa"/>
          <w:jc w:val="center"/>
        </w:trPr>
        <w:tc>
          <w:tcPr>
            <w:tcW w:w="0" w:type="auto"/>
            <w:vAlign w:val="center"/>
            <w:hideMark/>
          </w:tcPr>
          <w:p w14:paraId="6541B3B8" w14:textId="77777777" w:rsidR="00566A41" w:rsidRPr="00566A41" w:rsidRDefault="00566A41" w:rsidP="007F1E7B">
            <w:pPr>
              <w:spacing w:line="240" w:lineRule="auto"/>
            </w:pPr>
            <w:r w:rsidRPr="00566A41">
              <w:t>G</w:t>
            </w:r>
          </w:p>
        </w:tc>
        <w:tc>
          <w:tcPr>
            <w:tcW w:w="0" w:type="auto"/>
            <w:vAlign w:val="center"/>
            <w:hideMark/>
          </w:tcPr>
          <w:p w14:paraId="24988332" w14:textId="77777777" w:rsidR="00566A41" w:rsidRPr="00566A41" w:rsidRDefault="00566A41" w:rsidP="007F1E7B">
            <w:pPr>
              <w:spacing w:line="240" w:lineRule="auto"/>
            </w:pPr>
          </w:p>
        </w:tc>
        <w:tc>
          <w:tcPr>
            <w:tcW w:w="0" w:type="auto"/>
            <w:vAlign w:val="center"/>
            <w:hideMark/>
          </w:tcPr>
          <w:p w14:paraId="09EDD77B" w14:textId="77777777" w:rsidR="00566A41" w:rsidRPr="00566A41" w:rsidRDefault="00566A41" w:rsidP="007F1E7B">
            <w:pPr>
              <w:spacing w:line="240" w:lineRule="auto"/>
            </w:pPr>
            <w:r w:rsidRPr="00566A41">
              <w:t>0.0001</w:t>
            </w:r>
          </w:p>
        </w:tc>
      </w:tr>
      <w:tr w:rsidR="00566A41" w:rsidRPr="00566A41" w14:paraId="3066E44F" w14:textId="77777777" w:rsidTr="005E5E1A">
        <w:trPr>
          <w:tblHeader/>
          <w:tblCellSpacing w:w="15" w:type="dxa"/>
          <w:jc w:val="center"/>
        </w:trPr>
        <w:tc>
          <w:tcPr>
            <w:tcW w:w="0" w:type="auto"/>
            <w:vAlign w:val="center"/>
            <w:hideMark/>
          </w:tcPr>
          <w:p w14:paraId="5F7A0FFD" w14:textId="77777777" w:rsidR="00566A41" w:rsidRPr="00566A41" w:rsidRDefault="00566A41" w:rsidP="007F1E7B">
            <w:pPr>
              <w:spacing w:line="240" w:lineRule="auto"/>
            </w:pPr>
          </w:p>
        </w:tc>
        <w:tc>
          <w:tcPr>
            <w:tcW w:w="0" w:type="auto"/>
            <w:vAlign w:val="center"/>
            <w:hideMark/>
          </w:tcPr>
          <w:p w14:paraId="68C44EF3" w14:textId="77777777" w:rsidR="00566A41" w:rsidRPr="00566A41" w:rsidRDefault="00566A41" w:rsidP="007F1E7B">
            <w:pPr>
              <w:spacing w:line="240" w:lineRule="auto"/>
            </w:pPr>
          </w:p>
        </w:tc>
        <w:tc>
          <w:tcPr>
            <w:tcW w:w="0" w:type="auto"/>
            <w:vAlign w:val="center"/>
            <w:hideMark/>
          </w:tcPr>
          <w:p w14:paraId="4E15ABA6" w14:textId="77777777" w:rsidR="00566A41" w:rsidRPr="00566A41" w:rsidRDefault="00566A41" w:rsidP="007F1E7B">
            <w:pPr>
              <w:spacing w:line="240" w:lineRule="auto"/>
            </w:pPr>
            <w:r w:rsidRPr="00566A41">
              <w:t>(0.001)</w:t>
            </w:r>
          </w:p>
        </w:tc>
      </w:tr>
      <w:tr w:rsidR="00566A41" w:rsidRPr="00566A41" w14:paraId="106C92A1" w14:textId="77777777" w:rsidTr="005E5E1A">
        <w:trPr>
          <w:tblHeader/>
          <w:tblCellSpacing w:w="15" w:type="dxa"/>
          <w:jc w:val="center"/>
        </w:trPr>
        <w:tc>
          <w:tcPr>
            <w:tcW w:w="0" w:type="auto"/>
            <w:vAlign w:val="center"/>
            <w:hideMark/>
          </w:tcPr>
          <w:p w14:paraId="76517ED7" w14:textId="77777777" w:rsidR="00566A41" w:rsidRPr="00566A41" w:rsidRDefault="00566A41" w:rsidP="007F1E7B">
            <w:pPr>
              <w:spacing w:line="240" w:lineRule="auto"/>
            </w:pPr>
          </w:p>
        </w:tc>
        <w:tc>
          <w:tcPr>
            <w:tcW w:w="0" w:type="auto"/>
            <w:vAlign w:val="center"/>
            <w:hideMark/>
          </w:tcPr>
          <w:p w14:paraId="2F7BFDA3" w14:textId="77777777" w:rsidR="00566A41" w:rsidRPr="00566A41" w:rsidRDefault="00566A41" w:rsidP="007F1E7B">
            <w:pPr>
              <w:spacing w:line="240" w:lineRule="auto"/>
            </w:pPr>
          </w:p>
        </w:tc>
        <w:tc>
          <w:tcPr>
            <w:tcW w:w="0" w:type="auto"/>
            <w:vAlign w:val="center"/>
            <w:hideMark/>
          </w:tcPr>
          <w:p w14:paraId="42BE0FAF" w14:textId="77777777" w:rsidR="00566A41" w:rsidRPr="00566A41" w:rsidRDefault="00566A41" w:rsidP="007F1E7B">
            <w:pPr>
              <w:spacing w:line="240" w:lineRule="auto"/>
            </w:pPr>
          </w:p>
        </w:tc>
      </w:tr>
      <w:tr w:rsidR="00566A41" w:rsidRPr="00566A41" w14:paraId="5DABD275" w14:textId="77777777" w:rsidTr="005E5E1A">
        <w:trPr>
          <w:tblHeader/>
          <w:tblCellSpacing w:w="15" w:type="dxa"/>
          <w:jc w:val="center"/>
        </w:trPr>
        <w:tc>
          <w:tcPr>
            <w:tcW w:w="0" w:type="auto"/>
            <w:vAlign w:val="center"/>
            <w:hideMark/>
          </w:tcPr>
          <w:p w14:paraId="3041ED1A" w14:textId="77777777" w:rsidR="00566A41" w:rsidRPr="00566A41" w:rsidRDefault="00566A41" w:rsidP="007F1E7B">
            <w:pPr>
              <w:spacing w:line="240" w:lineRule="auto"/>
            </w:pPr>
            <w:r w:rsidRPr="00566A41">
              <w:t>LVR</w:t>
            </w:r>
          </w:p>
        </w:tc>
        <w:tc>
          <w:tcPr>
            <w:tcW w:w="0" w:type="auto"/>
            <w:vAlign w:val="center"/>
            <w:hideMark/>
          </w:tcPr>
          <w:p w14:paraId="6C31C447" w14:textId="77777777" w:rsidR="00566A41" w:rsidRPr="00566A41" w:rsidRDefault="00566A41" w:rsidP="007F1E7B">
            <w:pPr>
              <w:spacing w:line="240" w:lineRule="auto"/>
            </w:pPr>
            <w:r w:rsidRPr="00566A41">
              <w:t>-0.209</w:t>
            </w:r>
            <w:r w:rsidRPr="00566A41">
              <w:rPr>
                <w:vertAlign w:val="superscript"/>
              </w:rPr>
              <w:t>*</w:t>
            </w:r>
          </w:p>
        </w:tc>
        <w:tc>
          <w:tcPr>
            <w:tcW w:w="0" w:type="auto"/>
            <w:vAlign w:val="center"/>
            <w:hideMark/>
          </w:tcPr>
          <w:p w14:paraId="4C43BCB9" w14:textId="77777777" w:rsidR="00566A41" w:rsidRPr="00566A41" w:rsidRDefault="00566A41" w:rsidP="007F1E7B">
            <w:pPr>
              <w:spacing w:line="240" w:lineRule="auto"/>
            </w:pPr>
            <w:r w:rsidRPr="00566A41">
              <w:t>-0.216</w:t>
            </w:r>
            <w:r w:rsidRPr="00566A41">
              <w:rPr>
                <w:vertAlign w:val="superscript"/>
              </w:rPr>
              <w:t>*</w:t>
            </w:r>
          </w:p>
        </w:tc>
      </w:tr>
      <w:tr w:rsidR="00566A41" w:rsidRPr="00566A41" w14:paraId="6E55E580" w14:textId="77777777" w:rsidTr="005E5E1A">
        <w:trPr>
          <w:tblHeader/>
          <w:tblCellSpacing w:w="15" w:type="dxa"/>
          <w:jc w:val="center"/>
        </w:trPr>
        <w:tc>
          <w:tcPr>
            <w:tcW w:w="0" w:type="auto"/>
            <w:vAlign w:val="center"/>
            <w:hideMark/>
          </w:tcPr>
          <w:p w14:paraId="23B5B6C3" w14:textId="77777777" w:rsidR="00566A41" w:rsidRPr="00566A41" w:rsidRDefault="00566A41" w:rsidP="007F1E7B">
            <w:pPr>
              <w:spacing w:line="240" w:lineRule="auto"/>
            </w:pPr>
          </w:p>
        </w:tc>
        <w:tc>
          <w:tcPr>
            <w:tcW w:w="0" w:type="auto"/>
            <w:vAlign w:val="center"/>
            <w:hideMark/>
          </w:tcPr>
          <w:p w14:paraId="0D310BAB" w14:textId="77777777" w:rsidR="00566A41" w:rsidRPr="00566A41" w:rsidRDefault="00566A41" w:rsidP="007F1E7B">
            <w:pPr>
              <w:spacing w:line="240" w:lineRule="auto"/>
            </w:pPr>
            <w:r w:rsidRPr="00566A41">
              <w:t>(0.117)</w:t>
            </w:r>
          </w:p>
        </w:tc>
        <w:tc>
          <w:tcPr>
            <w:tcW w:w="0" w:type="auto"/>
            <w:vAlign w:val="center"/>
            <w:hideMark/>
          </w:tcPr>
          <w:p w14:paraId="2D9954C5" w14:textId="77777777" w:rsidR="00566A41" w:rsidRPr="00566A41" w:rsidRDefault="00566A41" w:rsidP="007F1E7B">
            <w:pPr>
              <w:spacing w:line="240" w:lineRule="auto"/>
            </w:pPr>
            <w:r w:rsidRPr="00566A41">
              <w:t>(0.117)</w:t>
            </w:r>
          </w:p>
        </w:tc>
      </w:tr>
      <w:tr w:rsidR="00566A41" w:rsidRPr="00566A41" w14:paraId="3A191097" w14:textId="77777777" w:rsidTr="005E5E1A">
        <w:trPr>
          <w:tblHeader/>
          <w:tblCellSpacing w:w="15" w:type="dxa"/>
          <w:jc w:val="center"/>
        </w:trPr>
        <w:tc>
          <w:tcPr>
            <w:tcW w:w="0" w:type="auto"/>
            <w:vAlign w:val="center"/>
            <w:hideMark/>
          </w:tcPr>
          <w:p w14:paraId="70525AD4" w14:textId="77777777" w:rsidR="00566A41" w:rsidRPr="00566A41" w:rsidRDefault="00566A41" w:rsidP="007F1E7B">
            <w:pPr>
              <w:spacing w:line="240" w:lineRule="auto"/>
            </w:pPr>
          </w:p>
        </w:tc>
        <w:tc>
          <w:tcPr>
            <w:tcW w:w="0" w:type="auto"/>
            <w:vAlign w:val="center"/>
            <w:hideMark/>
          </w:tcPr>
          <w:p w14:paraId="2273769F" w14:textId="77777777" w:rsidR="00566A41" w:rsidRPr="00566A41" w:rsidRDefault="00566A41" w:rsidP="007F1E7B">
            <w:pPr>
              <w:spacing w:line="240" w:lineRule="auto"/>
            </w:pPr>
          </w:p>
        </w:tc>
        <w:tc>
          <w:tcPr>
            <w:tcW w:w="0" w:type="auto"/>
            <w:vAlign w:val="center"/>
            <w:hideMark/>
          </w:tcPr>
          <w:p w14:paraId="429A7220" w14:textId="77777777" w:rsidR="00566A41" w:rsidRPr="00566A41" w:rsidRDefault="00566A41" w:rsidP="007F1E7B">
            <w:pPr>
              <w:spacing w:line="240" w:lineRule="auto"/>
            </w:pPr>
          </w:p>
        </w:tc>
      </w:tr>
      <w:tr w:rsidR="00566A41" w:rsidRPr="00566A41" w14:paraId="59CF6E62" w14:textId="77777777" w:rsidTr="005E5E1A">
        <w:trPr>
          <w:tblHeader/>
          <w:tblCellSpacing w:w="15" w:type="dxa"/>
          <w:jc w:val="center"/>
        </w:trPr>
        <w:tc>
          <w:tcPr>
            <w:tcW w:w="0" w:type="auto"/>
            <w:vAlign w:val="center"/>
            <w:hideMark/>
          </w:tcPr>
          <w:p w14:paraId="6E9E37F6" w14:textId="77777777" w:rsidR="00566A41" w:rsidRPr="00566A41" w:rsidRDefault="00566A41" w:rsidP="007F1E7B">
            <w:pPr>
              <w:spacing w:line="240" w:lineRule="auto"/>
            </w:pPr>
            <w:r w:rsidRPr="00566A41">
              <w:t>SZE</w:t>
            </w:r>
          </w:p>
        </w:tc>
        <w:tc>
          <w:tcPr>
            <w:tcW w:w="0" w:type="auto"/>
            <w:vAlign w:val="center"/>
            <w:hideMark/>
          </w:tcPr>
          <w:p w14:paraId="46D5C0AB" w14:textId="77777777" w:rsidR="00566A41" w:rsidRPr="00566A41" w:rsidRDefault="00566A41" w:rsidP="007F1E7B">
            <w:pPr>
              <w:spacing w:line="240" w:lineRule="auto"/>
            </w:pPr>
            <w:r w:rsidRPr="00566A41">
              <w:t>-0.012</w:t>
            </w:r>
          </w:p>
        </w:tc>
        <w:tc>
          <w:tcPr>
            <w:tcW w:w="0" w:type="auto"/>
            <w:vAlign w:val="center"/>
            <w:hideMark/>
          </w:tcPr>
          <w:p w14:paraId="114D33F8" w14:textId="77777777" w:rsidR="00566A41" w:rsidRPr="00566A41" w:rsidRDefault="00566A41" w:rsidP="007F1E7B">
            <w:pPr>
              <w:spacing w:line="240" w:lineRule="auto"/>
            </w:pPr>
            <w:r w:rsidRPr="00566A41">
              <w:t>-0.017</w:t>
            </w:r>
          </w:p>
        </w:tc>
      </w:tr>
      <w:tr w:rsidR="00566A41" w:rsidRPr="00566A41" w14:paraId="53AA5D3B" w14:textId="77777777" w:rsidTr="005E5E1A">
        <w:trPr>
          <w:tblHeader/>
          <w:tblCellSpacing w:w="15" w:type="dxa"/>
          <w:jc w:val="center"/>
        </w:trPr>
        <w:tc>
          <w:tcPr>
            <w:tcW w:w="0" w:type="auto"/>
            <w:vAlign w:val="center"/>
            <w:hideMark/>
          </w:tcPr>
          <w:p w14:paraId="05CA95C6" w14:textId="77777777" w:rsidR="00566A41" w:rsidRPr="00566A41" w:rsidRDefault="00566A41" w:rsidP="007F1E7B">
            <w:pPr>
              <w:spacing w:line="240" w:lineRule="auto"/>
            </w:pPr>
          </w:p>
        </w:tc>
        <w:tc>
          <w:tcPr>
            <w:tcW w:w="0" w:type="auto"/>
            <w:vAlign w:val="center"/>
            <w:hideMark/>
          </w:tcPr>
          <w:p w14:paraId="47E07D2F" w14:textId="77777777" w:rsidR="00566A41" w:rsidRPr="00566A41" w:rsidRDefault="00566A41" w:rsidP="007F1E7B">
            <w:pPr>
              <w:spacing w:line="240" w:lineRule="auto"/>
            </w:pPr>
            <w:r w:rsidRPr="00566A41">
              <w:t>(0.013)</w:t>
            </w:r>
          </w:p>
        </w:tc>
        <w:tc>
          <w:tcPr>
            <w:tcW w:w="0" w:type="auto"/>
            <w:vAlign w:val="center"/>
            <w:hideMark/>
          </w:tcPr>
          <w:p w14:paraId="0A2F4D05" w14:textId="77777777" w:rsidR="00566A41" w:rsidRPr="00566A41" w:rsidRDefault="00566A41" w:rsidP="007F1E7B">
            <w:pPr>
              <w:spacing w:line="240" w:lineRule="auto"/>
            </w:pPr>
            <w:r w:rsidRPr="00566A41">
              <w:t>(0.013)</w:t>
            </w:r>
          </w:p>
        </w:tc>
      </w:tr>
      <w:tr w:rsidR="00566A41" w:rsidRPr="00566A41" w14:paraId="029FCBC4" w14:textId="77777777" w:rsidTr="005E5E1A">
        <w:trPr>
          <w:tblHeader/>
          <w:tblCellSpacing w:w="15" w:type="dxa"/>
          <w:jc w:val="center"/>
        </w:trPr>
        <w:tc>
          <w:tcPr>
            <w:tcW w:w="0" w:type="auto"/>
            <w:vAlign w:val="center"/>
            <w:hideMark/>
          </w:tcPr>
          <w:p w14:paraId="49C784EA" w14:textId="77777777" w:rsidR="00566A41" w:rsidRPr="00566A41" w:rsidRDefault="00566A41" w:rsidP="007F1E7B">
            <w:pPr>
              <w:spacing w:line="240" w:lineRule="auto"/>
            </w:pPr>
          </w:p>
        </w:tc>
        <w:tc>
          <w:tcPr>
            <w:tcW w:w="0" w:type="auto"/>
            <w:vAlign w:val="center"/>
            <w:hideMark/>
          </w:tcPr>
          <w:p w14:paraId="0642CEBE" w14:textId="77777777" w:rsidR="00566A41" w:rsidRPr="00566A41" w:rsidRDefault="00566A41" w:rsidP="007F1E7B">
            <w:pPr>
              <w:spacing w:line="240" w:lineRule="auto"/>
            </w:pPr>
          </w:p>
        </w:tc>
        <w:tc>
          <w:tcPr>
            <w:tcW w:w="0" w:type="auto"/>
            <w:vAlign w:val="center"/>
            <w:hideMark/>
          </w:tcPr>
          <w:p w14:paraId="4C01F84F" w14:textId="77777777" w:rsidR="00566A41" w:rsidRPr="00566A41" w:rsidRDefault="00566A41" w:rsidP="007F1E7B">
            <w:pPr>
              <w:spacing w:line="240" w:lineRule="auto"/>
            </w:pPr>
          </w:p>
        </w:tc>
      </w:tr>
      <w:tr w:rsidR="00566A41" w:rsidRPr="00566A41" w14:paraId="752D3286" w14:textId="77777777" w:rsidTr="005E5E1A">
        <w:trPr>
          <w:tblHeader/>
          <w:tblCellSpacing w:w="15" w:type="dxa"/>
          <w:jc w:val="center"/>
        </w:trPr>
        <w:tc>
          <w:tcPr>
            <w:tcW w:w="0" w:type="auto"/>
            <w:vAlign w:val="center"/>
            <w:hideMark/>
          </w:tcPr>
          <w:p w14:paraId="4758C23E" w14:textId="77777777" w:rsidR="00566A41" w:rsidRPr="00566A41" w:rsidRDefault="00566A41" w:rsidP="007F1E7B">
            <w:pPr>
              <w:spacing w:line="240" w:lineRule="auto"/>
            </w:pPr>
            <w:r w:rsidRPr="00566A41">
              <w:t>Constant</w:t>
            </w:r>
          </w:p>
        </w:tc>
        <w:tc>
          <w:tcPr>
            <w:tcW w:w="0" w:type="auto"/>
            <w:vAlign w:val="center"/>
            <w:hideMark/>
          </w:tcPr>
          <w:p w14:paraId="3320AC87" w14:textId="77777777" w:rsidR="00566A41" w:rsidRPr="00566A41" w:rsidRDefault="00566A41" w:rsidP="007F1E7B">
            <w:pPr>
              <w:spacing w:line="240" w:lineRule="auto"/>
            </w:pPr>
            <w:r w:rsidRPr="00566A41">
              <w:t>0.346</w:t>
            </w:r>
          </w:p>
        </w:tc>
        <w:tc>
          <w:tcPr>
            <w:tcW w:w="0" w:type="auto"/>
            <w:vAlign w:val="center"/>
            <w:hideMark/>
          </w:tcPr>
          <w:p w14:paraId="07878605" w14:textId="77777777" w:rsidR="00566A41" w:rsidRPr="00566A41" w:rsidRDefault="00566A41" w:rsidP="007F1E7B">
            <w:pPr>
              <w:spacing w:line="240" w:lineRule="auto"/>
            </w:pPr>
            <w:r w:rsidRPr="00566A41">
              <w:t>0.462</w:t>
            </w:r>
          </w:p>
        </w:tc>
      </w:tr>
      <w:tr w:rsidR="00566A41" w:rsidRPr="00566A41" w14:paraId="3DF328CC" w14:textId="77777777" w:rsidTr="005E5E1A">
        <w:trPr>
          <w:tblHeader/>
          <w:tblCellSpacing w:w="15" w:type="dxa"/>
          <w:jc w:val="center"/>
        </w:trPr>
        <w:tc>
          <w:tcPr>
            <w:tcW w:w="0" w:type="auto"/>
            <w:vAlign w:val="center"/>
            <w:hideMark/>
          </w:tcPr>
          <w:p w14:paraId="61F82E2C" w14:textId="77777777" w:rsidR="00566A41" w:rsidRPr="00566A41" w:rsidRDefault="00566A41" w:rsidP="007F1E7B">
            <w:pPr>
              <w:spacing w:line="240" w:lineRule="auto"/>
            </w:pPr>
          </w:p>
        </w:tc>
        <w:tc>
          <w:tcPr>
            <w:tcW w:w="0" w:type="auto"/>
            <w:vAlign w:val="center"/>
            <w:hideMark/>
          </w:tcPr>
          <w:p w14:paraId="0910329E" w14:textId="77777777" w:rsidR="00566A41" w:rsidRPr="00566A41" w:rsidRDefault="00566A41" w:rsidP="007F1E7B">
            <w:pPr>
              <w:spacing w:line="240" w:lineRule="auto"/>
            </w:pPr>
            <w:r w:rsidRPr="00566A41">
              <w:t>(0.295)</w:t>
            </w:r>
          </w:p>
        </w:tc>
        <w:tc>
          <w:tcPr>
            <w:tcW w:w="0" w:type="auto"/>
            <w:vAlign w:val="center"/>
            <w:hideMark/>
          </w:tcPr>
          <w:p w14:paraId="4D7288B3" w14:textId="77777777" w:rsidR="00566A41" w:rsidRPr="00566A41" w:rsidRDefault="00566A41" w:rsidP="007F1E7B">
            <w:pPr>
              <w:spacing w:line="240" w:lineRule="auto"/>
            </w:pPr>
            <w:r w:rsidRPr="00566A41">
              <w:t>(0.294)</w:t>
            </w:r>
          </w:p>
        </w:tc>
      </w:tr>
      <w:tr w:rsidR="00566A41" w:rsidRPr="00566A41" w14:paraId="3F0D723E" w14:textId="77777777" w:rsidTr="005E5E1A">
        <w:trPr>
          <w:tblHeader/>
          <w:tblCellSpacing w:w="15" w:type="dxa"/>
          <w:jc w:val="center"/>
        </w:trPr>
        <w:tc>
          <w:tcPr>
            <w:tcW w:w="0" w:type="auto"/>
            <w:vAlign w:val="center"/>
            <w:hideMark/>
          </w:tcPr>
          <w:p w14:paraId="3470F7EC" w14:textId="77777777" w:rsidR="00566A41" w:rsidRPr="00566A41" w:rsidRDefault="00566A41" w:rsidP="007F1E7B">
            <w:pPr>
              <w:spacing w:line="240" w:lineRule="auto"/>
            </w:pPr>
          </w:p>
        </w:tc>
        <w:tc>
          <w:tcPr>
            <w:tcW w:w="0" w:type="auto"/>
            <w:vAlign w:val="center"/>
            <w:hideMark/>
          </w:tcPr>
          <w:p w14:paraId="6CE3DC18" w14:textId="77777777" w:rsidR="00566A41" w:rsidRPr="00566A41" w:rsidRDefault="00566A41" w:rsidP="007F1E7B">
            <w:pPr>
              <w:spacing w:line="240" w:lineRule="auto"/>
            </w:pPr>
          </w:p>
        </w:tc>
        <w:tc>
          <w:tcPr>
            <w:tcW w:w="0" w:type="auto"/>
            <w:vAlign w:val="center"/>
            <w:hideMark/>
          </w:tcPr>
          <w:p w14:paraId="7C7F69DE" w14:textId="77777777" w:rsidR="00566A41" w:rsidRPr="00566A41" w:rsidRDefault="00566A41" w:rsidP="007F1E7B">
            <w:pPr>
              <w:spacing w:line="240" w:lineRule="auto"/>
            </w:pPr>
          </w:p>
        </w:tc>
      </w:tr>
      <w:tr w:rsidR="00566A41" w:rsidRPr="00566A41" w14:paraId="38F9CEAA" w14:textId="77777777" w:rsidTr="005E5E1A">
        <w:trPr>
          <w:tblHeader/>
          <w:tblCellSpacing w:w="15" w:type="dxa"/>
          <w:jc w:val="center"/>
        </w:trPr>
        <w:tc>
          <w:tcPr>
            <w:tcW w:w="0" w:type="auto"/>
            <w:gridSpan w:val="3"/>
            <w:vAlign w:val="center"/>
            <w:hideMark/>
          </w:tcPr>
          <w:p w14:paraId="01E49376" w14:textId="77777777" w:rsidR="00566A41" w:rsidRPr="00566A41" w:rsidRDefault="00566A41" w:rsidP="007F1E7B">
            <w:pPr>
              <w:spacing w:line="240" w:lineRule="auto"/>
            </w:pPr>
          </w:p>
        </w:tc>
      </w:tr>
      <w:tr w:rsidR="00566A41" w:rsidRPr="00566A41" w14:paraId="5050CF2D" w14:textId="77777777" w:rsidTr="005E5E1A">
        <w:trPr>
          <w:tblHeader/>
          <w:tblCellSpacing w:w="15" w:type="dxa"/>
          <w:jc w:val="center"/>
        </w:trPr>
        <w:tc>
          <w:tcPr>
            <w:tcW w:w="0" w:type="auto"/>
            <w:vAlign w:val="center"/>
            <w:hideMark/>
          </w:tcPr>
          <w:p w14:paraId="627A1D76" w14:textId="77777777" w:rsidR="00566A41" w:rsidRPr="00566A41" w:rsidRDefault="00566A41" w:rsidP="007F1E7B">
            <w:pPr>
              <w:spacing w:line="240" w:lineRule="auto"/>
            </w:pPr>
            <w:r w:rsidRPr="00566A41">
              <w:t>Observations</w:t>
            </w:r>
          </w:p>
        </w:tc>
        <w:tc>
          <w:tcPr>
            <w:tcW w:w="0" w:type="auto"/>
            <w:vAlign w:val="center"/>
            <w:hideMark/>
          </w:tcPr>
          <w:p w14:paraId="01C91036" w14:textId="77777777" w:rsidR="00566A41" w:rsidRPr="00566A41" w:rsidRDefault="00566A41" w:rsidP="007F1E7B">
            <w:pPr>
              <w:spacing w:line="240" w:lineRule="auto"/>
            </w:pPr>
            <w:r w:rsidRPr="00566A41">
              <w:t>36</w:t>
            </w:r>
          </w:p>
        </w:tc>
        <w:tc>
          <w:tcPr>
            <w:tcW w:w="0" w:type="auto"/>
            <w:vAlign w:val="center"/>
            <w:hideMark/>
          </w:tcPr>
          <w:p w14:paraId="197FA104" w14:textId="77777777" w:rsidR="00566A41" w:rsidRPr="00566A41" w:rsidRDefault="00566A41" w:rsidP="007F1E7B">
            <w:pPr>
              <w:spacing w:line="240" w:lineRule="auto"/>
            </w:pPr>
            <w:r w:rsidRPr="00566A41">
              <w:t>36</w:t>
            </w:r>
          </w:p>
        </w:tc>
      </w:tr>
      <w:tr w:rsidR="00566A41" w:rsidRPr="00566A41" w14:paraId="7CC6FE14" w14:textId="77777777" w:rsidTr="005E5E1A">
        <w:trPr>
          <w:tblHeader/>
          <w:tblCellSpacing w:w="15" w:type="dxa"/>
          <w:jc w:val="center"/>
        </w:trPr>
        <w:tc>
          <w:tcPr>
            <w:tcW w:w="0" w:type="auto"/>
            <w:vAlign w:val="center"/>
            <w:hideMark/>
          </w:tcPr>
          <w:p w14:paraId="4728CF15" w14:textId="77777777" w:rsidR="00566A41" w:rsidRPr="00566A41" w:rsidRDefault="00566A41" w:rsidP="007F1E7B">
            <w:pPr>
              <w:spacing w:line="240" w:lineRule="auto"/>
            </w:pPr>
            <w:r w:rsidRPr="00566A41">
              <w:t>R</w:t>
            </w:r>
            <w:r w:rsidRPr="00566A41">
              <w:rPr>
                <w:vertAlign w:val="superscript"/>
              </w:rPr>
              <w:t>2</w:t>
            </w:r>
          </w:p>
        </w:tc>
        <w:tc>
          <w:tcPr>
            <w:tcW w:w="0" w:type="auto"/>
            <w:vAlign w:val="center"/>
            <w:hideMark/>
          </w:tcPr>
          <w:p w14:paraId="039D3B63" w14:textId="77777777" w:rsidR="00566A41" w:rsidRPr="00566A41" w:rsidRDefault="00566A41" w:rsidP="007F1E7B">
            <w:pPr>
              <w:spacing w:line="240" w:lineRule="auto"/>
            </w:pPr>
            <w:r w:rsidRPr="00566A41">
              <w:t>0.187</w:t>
            </w:r>
          </w:p>
        </w:tc>
        <w:tc>
          <w:tcPr>
            <w:tcW w:w="0" w:type="auto"/>
            <w:vAlign w:val="center"/>
            <w:hideMark/>
          </w:tcPr>
          <w:p w14:paraId="41FC07E0" w14:textId="77777777" w:rsidR="00566A41" w:rsidRPr="00566A41" w:rsidRDefault="00566A41" w:rsidP="007F1E7B">
            <w:pPr>
              <w:spacing w:line="240" w:lineRule="auto"/>
            </w:pPr>
            <w:r w:rsidRPr="00566A41">
              <w:t>0.297</w:t>
            </w:r>
          </w:p>
        </w:tc>
      </w:tr>
      <w:tr w:rsidR="00566A41" w:rsidRPr="00566A41" w14:paraId="3C75121B" w14:textId="77777777" w:rsidTr="005E5E1A">
        <w:trPr>
          <w:tblHeader/>
          <w:tblCellSpacing w:w="15" w:type="dxa"/>
          <w:jc w:val="center"/>
        </w:trPr>
        <w:tc>
          <w:tcPr>
            <w:tcW w:w="0" w:type="auto"/>
            <w:vAlign w:val="center"/>
            <w:hideMark/>
          </w:tcPr>
          <w:p w14:paraId="790E4012" w14:textId="77777777" w:rsidR="00566A41" w:rsidRPr="00566A41" w:rsidRDefault="00566A41" w:rsidP="007F1E7B">
            <w:pPr>
              <w:spacing w:line="240" w:lineRule="auto"/>
            </w:pPr>
            <w:r w:rsidRPr="00566A41">
              <w:t>Adjusted R</w:t>
            </w:r>
            <w:r w:rsidRPr="00566A41">
              <w:rPr>
                <w:vertAlign w:val="superscript"/>
              </w:rPr>
              <w:t>2</w:t>
            </w:r>
          </w:p>
        </w:tc>
        <w:tc>
          <w:tcPr>
            <w:tcW w:w="0" w:type="auto"/>
            <w:vAlign w:val="center"/>
            <w:hideMark/>
          </w:tcPr>
          <w:p w14:paraId="32BCE7A7" w14:textId="77777777" w:rsidR="00566A41" w:rsidRPr="00566A41" w:rsidRDefault="00566A41" w:rsidP="007F1E7B">
            <w:pPr>
              <w:spacing w:line="240" w:lineRule="auto"/>
            </w:pPr>
            <w:r w:rsidRPr="00566A41">
              <w:t>0.111</w:t>
            </w:r>
          </w:p>
        </w:tc>
        <w:tc>
          <w:tcPr>
            <w:tcW w:w="0" w:type="auto"/>
            <w:vAlign w:val="center"/>
            <w:hideMark/>
          </w:tcPr>
          <w:p w14:paraId="140FC7EA" w14:textId="77777777" w:rsidR="00566A41" w:rsidRPr="00566A41" w:rsidRDefault="00566A41" w:rsidP="007F1E7B">
            <w:pPr>
              <w:spacing w:line="240" w:lineRule="auto"/>
            </w:pPr>
            <w:r w:rsidRPr="00566A41">
              <w:t>0.180</w:t>
            </w:r>
          </w:p>
        </w:tc>
      </w:tr>
      <w:tr w:rsidR="00566A41" w:rsidRPr="00566A41" w14:paraId="4A9E48D9" w14:textId="77777777" w:rsidTr="005E5E1A">
        <w:trPr>
          <w:tblHeader/>
          <w:tblCellSpacing w:w="15" w:type="dxa"/>
          <w:jc w:val="center"/>
        </w:trPr>
        <w:tc>
          <w:tcPr>
            <w:tcW w:w="0" w:type="auto"/>
            <w:vAlign w:val="center"/>
            <w:hideMark/>
          </w:tcPr>
          <w:p w14:paraId="72447531" w14:textId="77777777" w:rsidR="00566A41" w:rsidRPr="00566A41" w:rsidRDefault="00566A41" w:rsidP="007F1E7B">
            <w:pPr>
              <w:spacing w:line="240" w:lineRule="auto"/>
            </w:pPr>
            <w:r w:rsidRPr="00566A41">
              <w:t>F Statistic</w:t>
            </w:r>
          </w:p>
        </w:tc>
        <w:tc>
          <w:tcPr>
            <w:tcW w:w="0" w:type="auto"/>
            <w:vAlign w:val="center"/>
            <w:hideMark/>
          </w:tcPr>
          <w:p w14:paraId="4750BB68" w14:textId="77777777" w:rsidR="00566A41" w:rsidRPr="00566A41" w:rsidRDefault="00566A41" w:rsidP="007F1E7B">
            <w:pPr>
              <w:spacing w:line="240" w:lineRule="auto"/>
            </w:pPr>
            <w:r w:rsidRPr="00566A41">
              <w:t>7.365</w:t>
            </w:r>
            <w:r w:rsidRPr="00566A41">
              <w:rPr>
                <w:vertAlign w:val="superscript"/>
              </w:rPr>
              <w:t>*</w:t>
            </w:r>
          </w:p>
        </w:tc>
        <w:tc>
          <w:tcPr>
            <w:tcW w:w="0" w:type="auto"/>
            <w:vAlign w:val="center"/>
            <w:hideMark/>
          </w:tcPr>
          <w:p w14:paraId="7F32601E" w14:textId="77777777" w:rsidR="00566A41" w:rsidRPr="00566A41" w:rsidRDefault="00566A41" w:rsidP="007F1E7B">
            <w:pPr>
              <w:spacing w:line="240" w:lineRule="auto"/>
            </w:pPr>
            <w:r w:rsidRPr="00566A41">
              <w:t>12.703</w:t>
            </w:r>
            <w:r w:rsidRPr="00566A41">
              <w:rPr>
                <w:vertAlign w:val="superscript"/>
              </w:rPr>
              <w:t>**</w:t>
            </w:r>
          </w:p>
        </w:tc>
      </w:tr>
      <w:tr w:rsidR="00566A41" w:rsidRPr="00566A41" w14:paraId="5F1E5080" w14:textId="77777777" w:rsidTr="005E5E1A">
        <w:trPr>
          <w:tblHeader/>
          <w:tblCellSpacing w:w="15" w:type="dxa"/>
          <w:jc w:val="center"/>
        </w:trPr>
        <w:tc>
          <w:tcPr>
            <w:tcW w:w="0" w:type="auto"/>
            <w:gridSpan w:val="3"/>
            <w:vAlign w:val="center"/>
            <w:hideMark/>
          </w:tcPr>
          <w:p w14:paraId="355D80AE" w14:textId="77777777" w:rsidR="00566A41" w:rsidRPr="00566A41" w:rsidRDefault="00566A41" w:rsidP="007F1E7B">
            <w:pPr>
              <w:spacing w:line="240" w:lineRule="auto"/>
            </w:pPr>
          </w:p>
        </w:tc>
      </w:tr>
      <w:tr w:rsidR="005B3402" w:rsidRPr="00566A41" w14:paraId="0C1B279B" w14:textId="77777777" w:rsidTr="005E5E1A">
        <w:trPr>
          <w:tblHeader/>
          <w:tblCellSpacing w:w="15" w:type="dxa"/>
          <w:jc w:val="center"/>
        </w:trPr>
        <w:tc>
          <w:tcPr>
            <w:tcW w:w="0" w:type="auto"/>
            <w:vAlign w:val="center"/>
            <w:hideMark/>
          </w:tcPr>
          <w:p w14:paraId="29032EAB" w14:textId="77777777" w:rsidR="00566A41" w:rsidRPr="00566A41" w:rsidRDefault="00566A41" w:rsidP="007F1E7B">
            <w:pPr>
              <w:spacing w:line="240" w:lineRule="auto"/>
            </w:pPr>
            <w:r w:rsidRPr="00566A41">
              <w:rPr>
                <w:rStyle w:val="Emphasis"/>
              </w:rPr>
              <w:t>Note:</w:t>
            </w:r>
          </w:p>
        </w:tc>
        <w:tc>
          <w:tcPr>
            <w:tcW w:w="0" w:type="auto"/>
            <w:gridSpan w:val="2"/>
            <w:vAlign w:val="center"/>
            <w:hideMark/>
          </w:tcPr>
          <w:p w14:paraId="7A222CBC" w14:textId="77777777" w:rsidR="00566A41" w:rsidRPr="00566A41" w:rsidRDefault="00566A41" w:rsidP="007F1E7B">
            <w:pPr>
              <w:spacing w:line="240" w:lineRule="auto"/>
            </w:pPr>
            <w:r w:rsidRPr="00566A41">
              <w:rPr>
                <w:vertAlign w:val="superscript"/>
              </w:rPr>
              <w:t>*</w:t>
            </w:r>
            <w:r w:rsidRPr="00566A41">
              <w:t>p&lt;0.1;</w:t>
            </w:r>
            <w:r w:rsidRPr="00566A41">
              <w:rPr>
                <w:rStyle w:val="apple-converted-space"/>
              </w:rPr>
              <w:t> </w:t>
            </w:r>
            <w:r w:rsidRPr="00566A41">
              <w:rPr>
                <w:vertAlign w:val="superscript"/>
              </w:rPr>
              <w:t>**</w:t>
            </w:r>
            <w:r w:rsidRPr="00566A41">
              <w:t>p&lt;0.05;</w:t>
            </w:r>
            <w:r w:rsidRPr="00566A41">
              <w:rPr>
                <w:rStyle w:val="apple-converted-space"/>
              </w:rPr>
              <w:t> </w:t>
            </w:r>
            <w:r w:rsidRPr="00566A41">
              <w:rPr>
                <w:vertAlign w:val="superscript"/>
              </w:rPr>
              <w:t>***</w:t>
            </w:r>
            <w:r w:rsidRPr="00566A41">
              <w:t>p&lt;0.01</w:t>
            </w:r>
          </w:p>
        </w:tc>
      </w:tr>
    </w:tbl>
    <w:p w14:paraId="7E0C0478" w14:textId="4EFD57E0" w:rsidR="000F25B0" w:rsidRPr="005B67CB" w:rsidRDefault="00D50C6A" w:rsidP="005B3402">
      <w:r w:rsidRPr="00D50C6A">
        <w:t>It can be concluded that both models are valid and informative as their F statistics are significant.</w:t>
      </w:r>
      <w:r>
        <w:t xml:space="preserve"> </w:t>
      </w:r>
      <w:r w:rsidR="00EF4322">
        <w:t xml:space="preserve">Results shows that, ESG, E pillar and S pillar have significant effects on ROA for models (3) and (4). Leverage ratio has also significant impact. While </w:t>
      </w:r>
      <w:r w:rsidR="0096421C">
        <w:t xml:space="preserve">overall </w:t>
      </w:r>
      <w:r w:rsidR="00EF4322">
        <w:t>ESG</w:t>
      </w:r>
      <w:r w:rsidR="00DB3F4F">
        <w:t xml:space="preserve"> and S</w:t>
      </w:r>
      <w:r w:rsidR="0096421C">
        <w:t xml:space="preserve"> pillar</w:t>
      </w:r>
      <w:r w:rsidR="00EF4322">
        <w:t xml:space="preserve"> </w:t>
      </w:r>
      <w:r w:rsidR="00DB3F4F">
        <w:t xml:space="preserve">has positive impact on “responsible” companies’ profitability, </w:t>
      </w:r>
      <w:r w:rsidR="0096421C">
        <w:t xml:space="preserve">E pillar has negative relation. Leverage ratio has negative impact as well. </w:t>
      </w:r>
      <w:r w:rsidRPr="00D50C6A">
        <w:t xml:space="preserve">Thus, it can be inferred that sustainability plays a significant role in the financial performance of companies that incorporate sustainability </w:t>
      </w:r>
      <w:r w:rsidRPr="00D50C6A">
        <w:lastRenderedPageBreak/>
        <w:t>reporting in their operations.</w:t>
      </w:r>
      <w:r>
        <w:t xml:space="preserve"> </w:t>
      </w:r>
      <w:r w:rsidRPr="00D50C6A">
        <w:t xml:space="preserve">Although the model is explanatory, the R-squared </w:t>
      </w:r>
      <w:r>
        <w:t>value</w:t>
      </w:r>
      <w:r w:rsidRPr="00D50C6A">
        <w:t xml:space="preserve"> reveals that the model's predictiveness is not very </w:t>
      </w:r>
      <w:r>
        <w:t>high</w:t>
      </w:r>
      <w:r w:rsidRPr="00D50C6A">
        <w:t>.</w:t>
      </w:r>
    </w:p>
    <w:p w14:paraId="2C924760" w14:textId="77777777" w:rsidR="00974DE2" w:rsidRPr="00974DE2" w:rsidRDefault="00974DE2" w:rsidP="005B3402">
      <w:pPr>
        <w:pStyle w:val="Heading1"/>
      </w:pPr>
      <w:r w:rsidRPr="00974DE2">
        <w:t>Conclusion</w:t>
      </w:r>
    </w:p>
    <w:p w14:paraId="0ED4413F" w14:textId="77777777" w:rsidR="003A659F" w:rsidRDefault="005F50A0" w:rsidP="00DD2E8F">
      <w:r w:rsidRPr="005F50A0">
        <w:t>Within the scope of the study, the financial and sustainability performance of 22 companies listed in the BIST XELKT index was examined for the period between 2019-2022. Due to data availability, the study was carried out with 20 companies.</w:t>
      </w:r>
      <w:r w:rsidR="00DC3CE4">
        <w:t xml:space="preserve"> </w:t>
      </w:r>
    </w:p>
    <w:p w14:paraId="05EE365D" w14:textId="4959A323" w:rsidR="001A0ABE" w:rsidRDefault="001A0ABE" w:rsidP="00DD2E8F">
      <w:r w:rsidRPr="001A0ABE">
        <w:t>The study used panel data of XELKT companies to investigate the effects of ESG performance, subsectors, sustainability index inclusion, and market risk exposure on financial performance. Control variables such as leverage ratio and size of the companies were taken into account. The results of the first scenario showed that profitability was significantly affected by the Russia-</w:t>
      </w:r>
      <w:r w:rsidR="00DC3CE4" w:rsidRPr="001A0ABE">
        <w:t>Ukra</w:t>
      </w:r>
      <w:r w:rsidR="00DC3CE4">
        <w:t>ine</w:t>
      </w:r>
      <w:r w:rsidRPr="001A0ABE">
        <w:t xml:space="preserve"> War and the company's leverage ratio, but ESG performance had no significant effect on the financial performance. In the second scenario, the scope of the dataset was narrowed to only "responsible" companies and the evaluation focused on the effects of ESG performance on financial profitability. The results showed that ESG performance had a significant positive effect on financial profitability, with the overall ESG and S pillar having a positive impact, but the E pillar having a negative relation.</w:t>
      </w:r>
    </w:p>
    <w:p w14:paraId="4293E2CC" w14:textId="1B5F244E" w:rsidR="003A659F" w:rsidRDefault="003A659F" w:rsidP="001B7459">
      <w:r w:rsidRPr="003A659F">
        <w:t xml:space="preserve">Especially in the first scenario, it is very likely that the relationship between sustainability and financial performance, as interpreted in the model results, has been affected by the fact that only a small fraction of the 80 observations had an ESG score. The addition of the risk exposure as a dummy variable is also one of the factors that affect the result. In 2022, other developments (investments, technological developments, etc.) </w:t>
      </w:r>
      <w:r>
        <w:t>except</w:t>
      </w:r>
      <w:r w:rsidRPr="003A659F">
        <w:t xml:space="preserve"> war that may affect the financial performance of XELKT companies also affect the result. In the second scenario, when the sample size is reduced, it has been observed that </w:t>
      </w:r>
      <w:r>
        <w:t xml:space="preserve">for </w:t>
      </w:r>
      <w:r w:rsidRPr="003A659F">
        <w:t xml:space="preserve">the companies already implementing sustainability practices, their </w:t>
      </w:r>
      <w:r>
        <w:t>sustainability performance</w:t>
      </w:r>
      <w:r w:rsidRPr="003A659F">
        <w:t xml:space="preserve"> </w:t>
      </w:r>
      <w:r w:rsidR="00085C3E" w:rsidRPr="003A659F">
        <w:t>has</w:t>
      </w:r>
      <w:r w:rsidR="006A0D38">
        <w:t xml:space="preserve"> </w:t>
      </w:r>
      <w:r>
        <w:t>significant</w:t>
      </w:r>
      <w:r w:rsidRPr="003A659F">
        <w:t xml:space="preserve"> effect</w:t>
      </w:r>
      <w:r>
        <w:t>s</w:t>
      </w:r>
      <w:r w:rsidRPr="003A659F">
        <w:t xml:space="preserve"> on their </w:t>
      </w:r>
      <w:r w:rsidRPr="003A659F">
        <w:lastRenderedPageBreak/>
        <w:t xml:space="preserve">financial performance. When considering the possibility that sustainability practices will be mandatory in the future with upcoming regulations, it can be inferred that companies that already have sustainability practices in place will be prepared for potential financial liabilities. The possibility of a deepening of market risks </w:t>
      </w:r>
      <w:r>
        <w:t>with</w:t>
      </w:r>
      <w:r w:rsidRPr="003A659F">
        <w:t xml:space="preserve"> potential recession in the future also </w:t>
      </w:r>
      <w:r>
        <w:t>supports</w:t>
      </w:r>
      <w:r w:rsidRPr="003A659F">
        <w:t xml:space="preserve"> this </w:t>
      </w:r>
      <w:r>
        <w:t>conclusion</w:t>
      </w:r>
      <w:r w:rsidRPr="003A659F">
        <w:t xml:space="preserve">. However, conclusions should be viewed with </w:t>
      </w:r>
      <w:proofErr w:type="spellStart"/>
      <w:r w:rsidRPr="003A659F">
        <w:t>skepticism</w:t>
      </w:r>
      <w:proofErr w:type="spellEnd"/>
      <w:r w:rsidRPr="003A659F">
        <w:t xml:space="preserve"> when drawing from a study based on a sample of only </w:t>
      </w:r>
      <w:r>
        <w:t>20</w:t>
      </w:r>
      <w:r w:rsidRPr="003A659F">
        <w:t xml:space="preserve"> companies.</w:t>
      </w:r>
    </w:p>
    <w:p w14:paraId="0B4D7FEA" w14:textId="00FF73A1" w:rsidR="007E0F90" w:rsidRDefault="007E0F90" w:rsidP="00DD2E8F">
      <w:r w:rsidRPr="007E0F90">
        <w:rPr>
          <w:color w:val="auto"/>
        </w:rPr>
        <w:t>In order to increase resolution of the model, quarterly data can be used instead of yearly data but due to data access limitation and project duration constraints this is unfortunately not the case. ESG data can also be evaluated on a quarterly basis if the release dates of the sustainability reports can be accessed.</w:t>
      </w:r>
      <w:r w:rsidRPr="007E0F90">
        <w:t xml:space="preserve"> Again, when the possibility of mandatory sustainability reports is taken into account, the gap can be eliminated by monitoring the dates of companies' </w:t>
      </w:r>
      <w:r w:rsidR="00810F03">
        <w:t>“</w:t>
      </w:r>
      <w:r w:rsidRPr="007E0F90">
        <w:t>KAP</w:t>
      </w:r>
      <w:r w:rsidR="00810F03">
        <w:t>”</w:t>
      </w:r>
      <w:r w:rsidRPr="007E0F90">
        <w:t xml:space="preserve"> announcements.</w:t>
      </w:r>
    </w:p>
    <w:p w14:paraId="5D32B1DF" w14:textId="4EB1E86D" w:rsidR="00911E59" w:rsidRPr="009A6112" w:rsidRDefault="00911E59" w:rsidP="00114B9E">
      <w:r w:rsidRPr="00911E59">
        <w:t>For further improvements, sub</w:t>
      </w:r>
      <w:r>
        <w:t>-</w:t>
      </w:r>
      <w:r w:rsidRPr="00911E59">
        <w:t xml:space="preserve">sectors can be grouped and evaluated within themselves rather than being treated as dummy within the same panel. Although each sub-sector is exposed to the risks mentioned throughout the study, the possible </w:t>
      </w:r>
      <w:r>
        <w:t>impacts</w:t>
      </w:r>
      <w:r w:rsidRPr="00911E59">
        <w:t xml:space="preserve"> of the risks exposed are different. In addition, </w:t>
      </w:r>
      <w:r w:rsidR="00255805">
        <w:t>t</w:t>
      </w:r>
      <w:r w:rsidR="00255805" w:rsidRPr="00255805">
        <w:t xml:space="preserve">esting the model </w:t>
      </w:r>
      <w:r w:rsidR="00255805">
        <w:t>with</w:t>
      </w:r>
      <w:r w:rsidR="00255805" w:rsidRPr="00255805">
        <w:t xml:space="preserve"> </w:t>
      </w:r>
      <w:r w:rsidR="00255805">
        <w:t>different</w:t>
      </w:r>
      <w:r w:rsidR="00255805" w:rsidRPr="00255805">
        <w:t xml:space="preserve"> financial performance indicators found in previous studies can increase its robustness.</w:t>
      </w:r>
      <w:r w:rsidR="00255805">
        <w:t xml:space="preserve"> </w:t>
      </w:r>
      <w:r w:rsidRPr="00911E59">
        <w:t xml:space="preserve">However, this will bring more data points to </w:t>
      </w:r>
      <w:r>
        <w:t>check</w:t>
      </w:r>
      <w:r w:rsidRPr="00911E59">
        <w:t xml:space="preserve">. </w:t>
      </w:r>
      <w:r w:rsidR="00255805" w:rsidRPr="00255805">
        <w:t xml:space="preserve">Additionally, examining the ESG pillars in separate models can decrease the impact of correlation on the results. </w:t>
      </w:r>
      <w:r w:rsidRPr="00911E59">
        <w:t xml:space="preserve">Finally, </w:t>
      </w:r>
      <w:r w:rsidR="00255805" w:rsidRPr="00255805">
        <w:t>automating the data collection process can eliminate</w:t>
      </w:r>
      <w:r w:rsidR="00255805">
        <w:t xml:space="preserve"> possible</w:t>
      </w:r>
      <w:r w:rsidR="00255805" w:rsidRPr="00255805">
        <w:t xml:space="preserve"> human errors that may affect the results.</w:t>
      </w:r>
    </w:p>
    <w:p w14:paraId="36CB4AFB" w14:textId="223C168F" w:rsidR="00114B9E" w:rsidRDefault="00114B9E" w:rsidP="00114B9E"/>
    <w:p w14:paraId="3773DFB9" w14:textId="30084C36" w:rsidR="001A0ABE" w:rsidRPr="001A0ABE" w:rsidRDefault="001A0ABE" w:rsidP="00AF32D2"/>
    <w:p w14:paraId="7100F9C7" w14:textId="4B3A5D0E" w:rsidR="00974DE2" w:rsidRPr="00AF32D2" w:rsidRDefault="00974DE2" w:rsidP="00AF32D2">
      <w:pPr>
        <w:rPr>
          <w:b/>
          <w:bCs/>
          <w:sz w:val="28"/>
        </w:rPr>
      </w:pPr>
      <w:r w:rsidRPr="00AF32D2">
        <w:rPr>
          <w:b/>
          <w:bCs/>
        </w:rPr>
        <w:t>References</w:t>
      </w:r>
    </w:p>
    <w:p w14:paraId="4D7B2FAC" w14:textId="77777777" w:rsidR="004F5912" w:rsidRPr="00562834" w:rsidRDefault="00672300" w:rsidP="00B97734">
      <w:pPr>
        <w:pStyle w:val="NormalWeb"/>
      </w:pPr>
      <w:r w:rsidRPr="00562834">
        <w:rPr>
          <w:lang w:val="en-US"/>
        </w:rPr>
        <w:lastRenderedPageBreak/>
        <w:t>[1]</w:t>
      </w:r>
      <w:r w:rsidR="004F5912" w:rsidRPr="00562834">
        <w:rPr>
          <w:lang w:val="en-US"/>
        </w:rPr>
        <w:t xml:space="preserve"> </w:t>
      </w:r>
      <w:r w:rsidR="004F5912" w:rsidRPr="00562834">
        <w:t xml:space="preserve">UN </w:t>
      </w:r>
      <w:proofErr w:type="spellStart"/>
      <w:r w:rsidR="004F5912" w:rsidRPr="00562834">
        <w:t>Climate</w:t>
      </w:r>
      <w:proofErr w:type="spellEnd"/>
      <w:r w:rsidR="004F5912" w:rsidRPr="00562834">
        <w:t xml:space="preserve"> </w:t>
      </w:r>
      <w:proofErr w:type="spellStart"/>
      <w:r w:rsidR="004F5912" w:rsidRPr="00562834">
        <w:t>Change</w:t>
      </w:r>
      <w:proofErr w:type="spellEnd"/>
      <w:r w:rsidR="004F5912" w:rsidRPr="00562834">
        <w:t xml:space="preserve"> Conference UK2021. (</w:t>
      </w:r>
      <w:proofErr w:type="spellStart"/>
      <w:r w:rsidR="004F5912" w:rsidRPr="00562834">
        <w:t>n.d</w:t>
      </w:r>
      <w:proofErr w:type="spellEnd"/>
      <w:r w:rsidR="004F5912" w:rsidRPr="00562834">
        <w:t xml:space="preserve">.). COP26 </w:t>
      </w:r>
      <w:proofErr w:type="spellStart"/>
      <w:r w:rsidR="004F5912" w:rsidRPr="00562834">
        <w:t>Explained</w:t>
      </w:r>
      <w:proofErr w:type="spellEnd"/>
      <w:r w:rsidR="004F5912" w:rsidRPr="00562834">
        <w:t xml:space="preserve">. </w:t>
      </w:r>
      <w:proofErr w:type="spellStart"/>
      <w:r w:rsidR="004F5912" w:rsidRPr="00562834">
        <w:t>Retrieved</w:t>
      </w:r>
      <w:proofErr w:type="spellEnd"/>
      <w:r w:rsidR="004F5912" w:rsidRPr="00562834">
        <w:t xml:space="preserve"> </w:t>
      </w:r>
      <w:proofErr w:type="spellStart"/>
      <w:r w:rsidR="004F5912" w:rsidRPr="00562834">
        <w:t>October</w:t>
      </w:r>
      <w:proofErr w:type="spellEnd"/>
      <w:r w:rsidR="004F5912" w:rsidRPr="00562834">
        <w:t xml:space="preserve"> 26, 2022, from https://ukcop26.wpenginepowered.com/wp-content/uploads/2021/07/COP26-Explained.pdf</w:t>
      </w:r>
    </w:p>
    <w:p w14:paraId="09E0A4F1" w14:textId="77777777" w:rsidR="00863E53" w:rsidRPr="00562834" w:rsidRDefault="00863E53" w:rsidP="00B97734">
      <w:pPr>
        <w:pStyle w:val="NormalWeb"/>
      </w:pPr>
      <w:r w:rsidRPr="00562834">
        <w:t>[2] SHURA. (2022).</w:t>
      </w:r>
      <w:r w:rsidRPr="00562834">
        <w:rPr>
          <w:rStyle w:val="apple-converted-space"/>
          <w:color w:val="000000"/>
        </w:rPr>
        <w:t> </w:t>
      </w:r>
      <w:r w:rsidRPr="00562834">
        <w:rPr>
          <w:i/>
          <w:iCs/>
        </w:rPr>
        <w:t>Türkiye Enerji Dönüşümü Görünümü 2021</w:t>
      </w:r>
      <w:r w:rsidRPr="00562834">
        <w:t xml:space="preserve">. </w:t>
      </w:r>
      <w:proofErr w:type="spellStart"/>
      <w:r w:rsidRPr="00562834">
        <w:t>Retrieved</w:t>
      </w:r>
      <w:proofErr w:type="spellEnd"/>
      <w:r w:rsidRPr="00562834">
        <w:t xml:space="preserve"> </w:t>
      </w:r>
      <w:proofErr w:type="spellStart"/>
      <w:r w:rsidRPr="00562834">
        <w:t>October</w:t>
      </w:r>
      <w:proofErr w:type="spellEnd"/>
      <w:r w:rsidRPr="00562834">
        <w:t xml:space="preserve"> 26, 2022, </w:t>
      </w:r>
      <w:proofErr w:type="spellStart"/>
      <w:r w:rsidRPr="00562834">
        <w:t>from</w:t>
      </w:r>
      <w:proofErr w:type="spellEnd"/>
      <w:r w:rsidRPr="00562834">
        <w:t xml:space="preserve"> https://shura.org.tr/wp-content/uploads/2022/07/Outlook-rapor-3.pdf</w:t>
      </w:r>
    </w:p>
    <w:p w14:paraId="0A2461A9" w14:textId="77777777" w:rsidR="00B751F3" w:rsidRPr="00562834" w:rsidRDefault="00B751F3" w:rsidP="00B97734">
      <w:pPr>
        <w:pStyle w:val="NormalWeb"/>
      </w:pPr>
      <w:r w:rsidRPr="00562834">
        <w:t>[</w:t>
      </w:r>
      <w:r w:rsidR="00863E53" w:rsidRPr="00562834">
        <w:t>3</w:t>
      </w:r>
      <w:r w:rsidRPr="00562834">
        <w:t>]</w:t>
      </w:r>
      <w:r w:rsidRPr="00562834">
        <w:rPr>
          <w:i/>
          <w:iCs/>
        </w:rPr>
        <w:t xml:space="preserve"> Environmental, social and governance (ESG) scores from Refinitiv</w:t>
      </w:r>
      <w:r w:rsidRPr="00562834">
        <w:t>. Retrieved October 12, 2022, from</w:t>
      </w:r>
      <w:r w:rsidR="007B18C0" w:rsidRPr="00562834">
        <w:t xml:space="preserve"> </w:t>
      </w:r>
      <w:r w:rsidRPr="00562834">
        <w:t xml:space="preserve">https://www.refinitiv.com/content/dam/marketing/en_us/documents/methodology/refinitiv-esg-scores-methodology.pdf </w:t>
      </w:r>
    </w:p>
    <w:p w14:paraId="30C33509" w14:textId="0B59F680" w:rsidR="00B751F3" w:rsidRPr="00562834" w:rsidRDefault="00B751F3" w:rsidP="00B97734">
      <w:pPr>
        <w:spacing w:line="240" w:lineRule="auto"/>
      </w:pPr>
      <w:r w:rsidRPr="00562834">
        <w:t>[</w:t>
      </w:r>
      <w:r w:rsidR="00863E53" w:rsidRPr="00562834">
        <w:t>4</w:t>
      </w:r>
      <w:r w:rsidRPr="00562834">
        <w:t xml:space="preserve">] </w:t>
      </w:r>
      <w:r w:rsidR="004F5912" w:rsidRPr="00562834">
        <w:t xml:space="preserve">Boffo, R., &amp; </w:t>
      </w:r>
      <w:proofErr w:type="spellStart"/>
      <w:r w:rsidR="004F5912" w:rsidRPr="00562834">
        <w:t>Patalano</w:t>
      </w:r>
      <w:proofErr w:type="spellEnd"/>
      <w:r w:rsidR="004F5912" w:rsidRPr="00562834">
        <w:t>, R. (2020). ESG investing: Practices, progress and challenges. Éditions</w:t>
      </w:r>
      <w:r w:rsidR="00DB49EB" w:rsidRPr="00562834">
        <w:t xml:space="preserve">    </w:t>
      </w:r>
      <w:r w:rsidR="004F5912" w:rsidRPr="00562834">
        <w:t xml:space="preserve">OCDE, </w:t>
      </w:r>
      <w:r w:rsidR="004F5912" w:rsidRPr="00562834">
        <w:rPr>
          <w:i/>
          <w:iCs/>
        </w:rPr>
        <w:t>Paris</w:t>
      </w:r>
      <w:r w:rsidR="004F5912" w:rsidRPr="00562834">
        <w:t>.</w:t>
      </w:r>
    </w:p>
    <w:p w14:paraId="7C2B939C" w14:textId="4A068C7A" w:rsidR="00BA0A2D" w:rsidRPr="00562834" w:rsidRDefault="007B18C0" w:rsidP="00B97734">
      <w:pPr>
        <w:pStyle w:val="NormalWeb"/>
      </w:pPr>
      <w:r w:rsidRPr="00562834">
        <w:t>[</w:t>
      </w:r>
      <w:r w:rsidR="00863E53" w:rsidRPr="00562834">
        <w:t>5</w:t>
      </w:r>
      <w:r w:rsidR="00226FF7" w:rsidRPr="00562834">
        <w:t xml:space="preserve">] </w:t>
      </w:r>
      <w:r w:rsidR="0019584A" w:rsidRPr="00562834">
        <w:t>FSB. (2017).</w:t>
      </w:r>
      <w:r w:rsidR="0019584A" w:rsidRPr="00562834">
        <w:rPr>
          <w:rStyle w:val="apple-converted-space"/>
          <w:color w:val="000000"/>
        </w:rPr>
        <w:t> </w:t>
      </w:r>
      <w:proofErr w:type="spellStart"/>
      <w:r w:rsidR="0019584A" w:rsidRPr="00562834">
        <w:rPr>
          <w:i/>
          <w:iCs/>
        </w:rPr>
        <w:t>Recommendations</w:t>
      </w:r>
      <w:proofErr w:type="spellEnd"/>
      <w:r w:rsidR="0019584A" w:rsidRPr="00562834">
        <w:rPr>
          <w:i/>
          <w:iCs/>
        </w:rPr>
        <w:t xml:space="preserve"> of </w:t>
      </w:r>
      <w:proofErr w:type="spellStart"/>
      <w:r w:rsidR="0019584A" w:rsidRPr="00562834">
        <w:rPr>
          <w:i/>
          <w:iCs/>
        </w:rPr>
        <w:t>the</w:t>
      </w:r>
      <w:proofErr w:type="spellEnd"/>
      <w:r w:rsidR="0019584A" w:rsidRPr="00562834">
        <w:rPr>
          <w:i/>
          <w:iCs/>
        </w:rPr>
        <w:t xml:space="preserve"> </w:t>
      </w:r>
      <w:proofErr w:type="spellStart"/>
      <w:r w:rsidR="0019584A" w:rsidRPr="00562834">
        <w:rPr>
          <w:i/>
          <w:iCs/>
        </w:rPr>
        <w:t>Task</w:t>
      </w:r>
      <w:proofErr w:type="spellEnd"/>
      <w:r w:rsidR="0019584A" w:rsidRPr="00562834">
        <w:rPr>
          <w:i/>
          <w:iCs/>
        </w:rPr>
        <w:t xml:space="preserve"> Force on </w:t>
      </w:r>
      <w:proofErr w:type="spellStart"/>
      <w:r w:rsidR="0019584A" w:rsidRPr="00562834">
        <w:rPr>
          <w:i/>
          <w:iCs/>
        </w:rPr>
        <w:t>Climate-related</w:t>
      </w:r>
      <w:proofErr w:type="spellEnd"/>
      <w:r w:rsidR="0019584A" w:rsidRPr="00562834">
        <w:rPr>
          <w:i/>
          <w:iCs/>
        </w:rPr>
        <w:t xml:space="preserve"> Financial Disclosures</w:t>
      </w:r>
      <w:r w:rsidR="0019584A" w:rsidRPr="00562834">
        <w:t>.</w:t>
      </w:r>
      <w:r w:rsidR="0019584A" w:rsidRPr="00562834">
        <w:rPr>
          <w:rStyle w:val="apple-converted-space"/>
          <w:color w:val="000000"/>
        </w:rPr>
        <w:t> </w:t>
      </w:r>
      <w:r w:rsidR="0019584A" w:rsidRPr="00562834">
        <w:t>https://assets.bbhub.io/company/sites/60/2021/10/FINAL-2017-TCFD-Report.pdf</w:t>
      </w:r>
    </w:p>
    <w:p w14:paraId="2ECABECF" w14:textId="49D2AF14" w:rsidR="00672300" w:rsidRPr="00562834" w:rsidRDefault="00672300" w:rsidP="00B97734">
      <w:pPr>
        <w:pStyle w:val="NormalWeb"/>
        <w:rPr>
          <w:rStyle w:val="apple-converted-space"/>
          <w:color w:val="000000"/>
        </w:rPr>
      </w:pPr>
      <w:r w:rsidRPr="00562834">
        <w:t xml:space="preserve">[6] </w:t>
      </w:r>
      <w:r w:rsidRPr="00562834">
        <w:rPr>
          <w:i/>
          <w:iCs/>
        </w:rPr>
        <w:t>Sürdürülebilirlik Endeksi</w:t>
      </w:r>
      <w:r w:rsidRPr="00562834">
        <w:t xml:space="preserve">. Borsa İstanbul A.Ş. </w:t>
      </w:r>
      <w:proofErr w:type="spellStart"/>
      <w:r w:rsidRPr="00562834">
        <w:t>Retrieved</w:t>
      </w:r>
      <w:proofErr w:type="spellEnd"/>
      <w:r w:rsidRPr="00562834">
        <w:t xml:space="preserve"> </w:t>
      </w:r>
      <w:proofErr w:type="spellStart"/>
      <w:r w:rsidRPr="00562834">
        <w:t>October</w:t>
      </w:r>
      <w:proofErr w:type="spellEnd"/>
      <w:r w:rsidRPr="00562834">
        <w:t xml:space="preserve"> 26, 2022, </w:t>
      </w:r>
      <w:proofErr w:type="spellStart"/>
      <w:r w:rsidRPr="00562834">
        <w:t>from</w:t>
      </w:r>
      <w:proofErr w:type="spellEnd"/>
      <w:r w:rsidRPr="00562834">
        <w:t xml:space="preserve"> https://borsaistanbul.com/tr/sayfa/165/bist-surdurulebilirlik-endeksi</w:t>
      </w:r>
      <w:r w:rsidRPr="00562834">
        <w:rPr>
          <w:rStyle w:val="apple-converted-space"/>
          <w:color w:val="000000"/>
        </w:rPr>
        <w:t> </w:t>
      </w:r>
    </w:p>
    <w:p w14:paraId="36861609" w14:textId="736E0974" w:rsidR="00324DEE" w:rsidRPr="00562834" w:rsidRDefault="00324DEE" w:rsidP="00B97734">
      <w:pPr>
        <w:pStyle w:val="NormalWeb"/>
        <w:rPr>
          <w:shd w:val="clear" w:color="auto" w:fill="FFFFFF"/>
        </w:rPr>
      </w:pPr>
      <w:r w:rsidRPr="00562834">
        <w:rPr>
          <w:rStyle w:val="apple-converted-space"/>
          <w:color w:val="000000"/>
        </w:rPr>
        <w:t xml:space="preserve">[7] </w:t>
      </w:r>
      <w:proofErr w:type="spellStart"/>
      <w:r w:rsidRPr="00562834">
        <w:rPr>
          <w:shd w:val="clear" w:color="auto" w:fill="FFFFFF"/>
        </w:rPr>
        <w:t>Zhu</w:t>
      </w:r>
      <w:proofErr w:type="spellEnd"/>
      <w:r w:rsidRPr="00562834">
        <w:rPr>
          <w:shd w:val="clear" w:color="auto" w:fill="FFFFFF"/>
        </w:rPr>
        <w:t xml:space="preserve">, B., </w:t>
      </w:r>
      <w:proofErr w:type="spellStart"/>
      <w:r w:rsidRPr="00562834">
        <w:rPr>
          <w:shd w:val="clear" w:color="auto" w:fill="FFFFFF"/>
        </w:rPr>
        <w:t>Tang</w:t>
      </w:r>
      <w:proofErr w:type="spellEnd"/>
      <w:r w:rsidRPr="00562834">
        <w:rPr>
          <w:shd w:val="clear" w:color="auto" w:fill="FFFFFF"/>
        </w:rPr>
        <w:t xml:space="preserve">, J., </w:t>
      </w:r>
      <w:proofErr w:type="spellStart"/>
      <w:r w:rsidRPr="00562834">
        <w:rPr>
          <w:shd w:val="clear" w:color="auto" w:fill="FFFFFF"/>
        </w:rPr>
        <w:t>Wang</w:t>
      </w:r>
      <w:proofErr w:type="spellEnd"/>
      <w:r w:rsidRPr="00562834">
        <w:rPr>
          <w:shd w:val="clear" w:color="auto" w:fill="FFFFFF"/>
        </w:rPr>
        <w:t xml:space="preserve">, P., &amp; </w:t>
      </w:r>
      <w:proofErr w:type="spellStart"/>
      <w:r w:rsidRPr="00562834">
        <w:rPr>
          <w:shd w:val="clear" w:color="auto" w:fill="FFFFFF"/>
        </w:rPr>
        <w:t>Zhang</w:t>
      </w:r>
      <w:proofErr w:type="spellEnd"/>
      <w:r w:rsidRPr="00562834">
        <w:rPr>
          <w:shd w:val="clear" w:color="auto" w:fill="FFFFFF"/>
        </w:rPr>
        <w:t xml:space="preserve">, L. (2022). </w:t>
      </w:r>
      <w:proofErr w:type="spellStart"/>
      <w:r w:rsidRPr="00562834">
        <w:rPr>
          <w:shd w:val="clear" w:color="auto" w:fill="FFFFFF"/>
        </w:rPr>
        <w:t>Exploring</w:t>
      </w:r>
      <w:proofErr w:type="spellEnd"/>
      <w:r w:rsidRPr="00562834">
        <w:rPr>
          <w:shd w:val="clear" w:color="auto" w:fill="FFFFFF"/>
        </w:rPr>
        <w:t xml:space="preserve"> </w:t>
      </w:r>
      <w:proofErr w:type="spellStart"/>
      <w:r w:rsidRPr="00562834">
        <w:rPr>
          <w:shd w:val="clear" w:color="auto" w:fill="FFFFFF"/>
        </w:rPr>
        <w:t>the</w:t>
      </w:r>
      <w:proofErr w:type="spellEnd"/>
      <w:r w:rsidRPr="00562834">
        <w:rPr>
          <w:shd w:val="clear" w:color="auto" w:fill="FFFFFF"/>
        </w:rPr>
        <w:t xml:space="preserve"> </w:t>
      </w:r>
      <w:proofErr w:type="spellStart"/>
      <w:r w:rsidRPr="00562834">
        <w:rPr>
          <w:shd w:val="clear" w:color="auto" w:fill="FFFFFF"/>
        </w:rPr>
        <w:t>drivers</w:t>
      </w:r>
      <w:proofErr w:type="spellEnd"/>
      <w:r w:rsidRPr="00562834">
        <w:rPr>
          <w:shd w:val="clear" w:color="auto" w:fill="FFFFFF"/>
        </w:rPr>
        <w:t xml:space="preserve"> of </w:t>
      </w:r>
      <w:proofErr w:type="spellStart"/>
      <w:r w:rsidRPr="00562834">
        <w:rPr>
          <w:shd w:val="clear" w:color="auto" w:fill="FFFFFF"/>
        </w:rPr>
        <w:t>carbon</w:t>
      </w:r>
      <w:proofErr w:type="spellEnd"/>
      <w:r w:rsidRPr="00562834">
        <w:rPr>
          <w:shd w:val="clear" w:color="auto" w:fill="FFFFFF"/>
        </w:rPr>
        <w:t xml:space="preserve"> market risk: A meta </w:t>
      </w:r>
      <w:proofErr w:type="spellStart"/>
      <w:r w:rsidRPr="00562834">
        <w:rPr>
          <w:shd w:val="clear" w:color="auto" w:fill="FFFFFF"/>
        </w:rPr>
        <w:t>regression</w:t>
      </w:r>
      <w:proofErr w:type="spellEnd"/>
      <w:r w:rsidRPr="00562834">
        <w:rPr>
          <w:shd w:val="clear" w:color="auto" w:fill="FFFFFF"/>
        </w:rPr>
        <w:t xml:space="preserve"> </w:t>
      </w:r>
      <w:proofErr w:type="spellStart"/>
      <w:r w:rsidRPr="00562834">
        <w:rPr>
          <w:shd w:val="clear" w:color="auto" w:fill="FFFFFF"/>
        </w:rPr>
        <w:t>analysis</w:t>
      </w:r>
      <w:proofErr w:type="spellEnd"/>
      <w:r w:rsidRPr="00562834">
        <w:rPr>
          <w:shd w:val="clear" w:color="auto" w:fill="FFFFFF"/>
        </w:rPr>
        <w:t>.</w:t>
      </w:r>
      <w:r w:rsidRPr="00562834">
        <w:rPr>
          <w:rStyle w:val="apple-converted-space"/>
          <w:color w:val="222222"/>
          <w:shd w:val="clear" w:color="auto" w:fill="FFFFFF"/>
        </w:rPr>
        <w:t> </w:t>
      </w:r>
      <w:proofErr w:type="spellStart"/>
      <w:r w:rsidRPr="00562834">
        <w:rPr>
          <w:i/>
          <w:iCs/>
        </w:rPr>
        <w:t>Journal</w:t>
      </w:r>
      <w:proofErr w:type="spellEnd"/>
      <w:r w:rsidRPr="00562834">
        <w:rPr>
          <w:i/>
          <w:iCs/>
        </w:rPr>
        <w:t xml:space="preserve"> of </w:t>
      </w:r>
      <w:proofErr w:type="spellStart"/>
      <w:r w:rsidRPr="00562834">
        <w:rPr>
          <w:i/>
          <w:iCs/>
        </w:rPr>
        <w:t>Cleaner</w:t>
      </w:r>
      <w:proofErr w:type="spellEnd"/>
      <w:r w:rsidRPr="00562834">
        <w:rPr>
          <w:i/>
          <w:iCs/>
        </w:rPr>
        <w:t xml:space="preserve"> </w:t>
      </w:r>
      <w:proofErr w:type="spellStart"/>
      <w:r w:rsidRPr="00562834">
        <w:rPr>
          <w:i/>
          <w:iCs/>
        </w:rPr>
        <w:t>Production</w:t>
      </w:r>
      <w:proofErr w:type="spellEnd"/>
      <w:r w:rsidRPr="00562834">
        <w:rPr>
          <w:shd w:val="clear" w:color="auto" w:fill="FFFFFF"/>
        </w:rPr>
        <w:t>,</w:t>
      </w:r>
      <w:r w:rsidRPr="00562834">
        <w:rPr>
          <w:rStyle w:val="apple-converted-space"/>
          <w:color w:val="222222"/>
          <w:shd w:val="clear" w:color="auto" w:fill="FFFFFF"/>
        </w:rPr>
        <w:t> </w:t>
      </w:r>
      <w:r w:rsidRPr="00562834">
        <w:rPr>
          <w:i/>
          <w:iCs/>
        </w:rPr>
        <w:t>352</w:t>
      </w:r>
      <w:r w:rsidRPr="00562834">
        <w:rPr>
          <w:shd w:val="clear" w:color="auto" w:fill="FFFFFF"/>
        </w:rPr>
        <w:t>, 131538.</w:t>
      </w:r>
    </w:p>
    <w:p w14:paraId="5F6DA9AA" w14:textId="0B49213C" w:rsidR="00DB49EB" w:rsidRPr="00562834" w:rsidRDefault="00DB49EB" w:rsidP="00B97734">
      <w:pPr>
        <w:pStyle w:val="NormalWeb"/>
        <w:rPr>
          <w:shd w:val="clear" w:color="auto" w:fill="FFFFFF"/>
        </w:rPr>
      </w:pPr>
      <w:r w:rsidRPr="00562834">
        <w:rPr>
          <w:shd w:val="clear" w:color="auto" w:fill="FFFFFF"/>
        </w:rPr>
        <w:t xml:space="preserve">[8] </w:t>
      </w:r>
      <w:proofErr w:type="spellStart"/>
      <w:r w:rsidRPr="00562834">
        <w:rPr>
          <w:shd w:val="clear" w:color="auto" w:fill="FFFFFF"/>
        </w:rPr>
        <w:t>Berg</w:t>
      </w:r>
      <w:proofErr w:type="spellEnd"/>
      <w:r w:rsidRPr="00562834">
        <w:rPr>
          <w:shd w:val="clear" w:color="auto" w:fill="FFFFFF"/>
        </w:rPr>
        <w:t xml:space="preserve">, F., </w:t>
      </w:r>
      <w:proofErr w:type="spellStart"/>
      <w:r w:rsidRPr="00562834">
        <w:rPr>
          <w:shd w:val="clear" w:color="auto" w:fill="FFFFFF"/>
        </w:rPr>
        <w:t>Koelbel</w:t>
      </w:r>
      <w:proofErr w:type="spellEnd"/>
      <w:r w:rsidRPr="00562834">
        <w:rPr>
          <w:shd w:val="clear" w:color="auto" w:fill="FFFFFF"/>
        </w:rPr>
        <w:t xml:space="preserve">, J. F., &amp; </w:t>
      </w:r>
      <w:proofErr w:type="spellStart"/>
      <w:r w:rsidRPr="00562834">
        <w:rPr>
          <w:shd w:val="clear" w:color="auto" w:fill="FFFFFF"/>
        </w:rPr>
        <w:t>Rigobon</w:t>
      </w:r>
      <w:proofErr w:type="spellEnd"/>
      <w:r w:rsidRPr="00562834">
        <w:rPr>
          <w:shd w:val="clear" w:color="auto" w:fill="FFFFFF"/>
        </w:rPr>
        <w:t xml:space="preserve">, R. (2019). </w:t>
      </w:r>
      <w:proofErr w:type="spellStart"/>
      <w:r w:rsidRPr="00562834">
        <w:rPr>
          <w:shd w:val="clear" w:color="auto" w:fill="FFFFFF"/>
        </w:rPr>
        <w:t>Aggregate</w:t>
      </w:r>
      <w:proofErr w:type="spellEnd"/>
      <w:r w:rsidRPr="00562834">
        <w:rPr>
          <w:shd w:val="clear" w:color="auto" w:fill="FFFFFF"/>
        </w:rPr>
        <w:t xml:space="preserve"> </w:t>
      </w:r>
      <w:proofErr w:type="spellStart"/>
      <w:r w:rsidRPr="00562834">
        <w:rPr>
          <w:shd w:val="clear" w:color="auto" w:fill="FFFFFF"/>
        </w:rPr>
        <w:t>confusion</w:t>
      </w:r>
      <w:proofErr w:type="spellEnd"/>
      <w:r w:rsidRPr="00562834">
        <w:rPr>
          <w:shd w:val="clear" w:color="auto" w:fill="FFFFFF"/>
        </w:rPr>
        <w:t xml:space="preserve">: </w:t>
      </w:r>
      <w:proofErr w:type="spellStart"/>
      <w:r w:rsidRPr="00562834">
        <w:rPr>
          <w:shd w:val="clear" w:color="auto" w:fill="FFFFFF"/>
        </w:rPr>
        <w:t>The</w:t>
      </w:r>
      <w:proofErr w:type="spellEnd"/>
      <w:r w:rsidRPr="00562834">
        <w:rPr>
          <w:shd w:val="clear" w:color="auto" w:fill="FFFFFF"/>
        </w:rPr>
        <w:t xml:space="preserve"> </w:t>
      </w:r>
      <w:proofErr w:type="spellStart"/>
      <w:r w:rsidRPr="00562834">
        <w:rPr>
          <w:shd w:val="clear" w:color="auto" w:fill="FFFFFF"/>
        </w:rPr>
        <w:t>divergence</w:t>
      </w:r>
      <w:proofErr w:type="spellEnd"/>
      <w:r w:rsidRPr="00562834">
        <w:rPr>
          <w:shd w:val="clear" w:color="auto" w:fill="FFFFFF"/>
        </w:rPr>
        <w:t xml:space="preserve"> of ESG </w:t>
      </w:r>
      <w:proofErr w:type="spellStart"/>
      <w:r w:rsidRPr="00562834">
        <w:rPr>
          <w:shd w:val="clear" w:color="auto" w:fill="FFFFFF"/>
        </w:rPr>
        <w:t>ratings</w:t>
      </w:r>
      <w:proofErr w:type="spellEnd"/>
      <w:r w:rsidRPr="00562834">
        <w:rPr>
          <w:shd w:val="clear" w:color="auto" w:fill="FFFFFF"/>
        </w:rPr>
        <w:t>.</w:t>
      </w:r>
      <w:r w:rsidRPr="00562834">
        <w:rPr>
          <w:rStyle w:val="apple-converted-space"/>
          <w:color w:val="222222"/>
          <w:shd w:val="clear" w:color="auto" w:fill="FFFFFF"/>
        </w:rPr>
        <w:t> </w:t>
      </w:r>
      <w:proofErr w:type="spellStart"/>
      <w:r w:rsidRPr="00562834">
        <w:rPr>
          <w:i/>
          <w:iCs/>
        </w:rPr>
        <w:t>Forthcoming</w:t>
      </w:r>
      <w:proofErr w:type="spellEnd"/>
      <w:r w:rsidRPr="00562834">
        <w:rPr>
          <w:i/>
          <w:iCs/>
        </w:rPr>
        <w:t xml:space="preserve"> </w:t>
      </w:r>
      <w:proofErr w:type="spellStart"/>
      <w:r w:rsidRPr="00562834">
        <w:rPr>
          <w:i/>
          <w:iCs/>
        </w:rPr>
        <w:t>Review</w:t>
      </w:r>
      <w:proofErr w:type="spellEnd"/>
      <w:r w:rsidRPr="00562834">
        <w:rPr>
          <w:i/>
          <w:iCs/>
        </w:rPr>
        <w:t xml:space="preserve"> of Finance</w:t>
      </w:r>
      <w:r w:rsidRPr="00562834">
        <w:rPr>
          <w:shd w:val="clear" w:color="auto" w:fill="FFFFFF"/>
        </w:rPr>
        <w:t>.</w:t>
      </w:r>
    </w:p>
    <w:p w14:paraId="24384A50" w14:textId="6A64055E" w:rsidR="00DB49EB" w:rsidRPr="00562834" w:rsidRDefault="00DB49EB" w:rsidP="00B97734">
      <w:pPr>
        <w:pStyle w:val="NormalWeb"/>
        <w:rPr>
          <w:shd w:val="clear" w:color="auto" w:fill="FFFFFF"/>
        </w:rPr>
      </w:pPr>
      <w:r w:rsidRPr="00562834">
        <w:rPr>
          <w:shd w:val="clear" w:color="auto" w:fill="FFFFFF"/>
        </w:rPr>
        <w:t xml:space="preserve">[9] </w:t>
      </w:r>
      <w:proofErr w:type="spellStart"/>
      <w:r w:rsidRPr="00562834">
        <w:rPr>
          <w:shd w:val="clear" w:color="auto" w:fill="FFFFFF"/>
        </w:rPr>
        <w:t>Berg</w:t>
      </w:r>
      <w:proofErr w:type="spellEnd"/>
      <w:r w:rsidRPr="00562834">
        <w:rPr>
          <w:shd w:val="clear" w:color="auto" w:fill="FFFFFF"/>
        </w:rPr>
        <w:t xml:space="preserve">, F., </w:t>
      </w:r>
      <w:proofErr w:type="spellStart"/>
      <w:r w:rsidRPr="00562834">
        <w:rPr>
          <w:shd w:val="clear" w:color="auto" w:fill="FFFFFF"/>
        </w:rPr>
        <w:t>Fabisik</w:t>
      </w:r>
      <w:proofErr w:type="spellEnd"/>
      <w:r w:rsidRPr="00562834">
        <w:rPr>
          <w:shd w:val="clear" w:color="auto" w:fill="FFFFFF"/>
        </w:rPr>
        <w:t xml:space="preserve">, K., &amp; </w:t>
      </w:r>
      <w:proofErr w:type="spellStart"/>
      <w:r w:rsidRPr="00562834">
        <w:rPr>
          <w:shd w:val="clear" w:color="auto" w:fill="FFFFFF"/>
        </w:rPr>
        <w:t>Sautner</w:t>
      </w:r>
      <w:proofErr w:type="spellEnd"/>
      <w:r w:rsidRPr="00562834">
        <w:rPr>
          <w:shd w:val="clear" w:color="auto" w:fill="FFFFFF"/>
        </w:rPr>
        <w:t xml:space="preserve">, Z. (2020). Is </w:t>
      </w:r>
      <w:proofErr w:type="spellStart"/>
      <w:r w:rsidRPr="00562834">
        <w:rPr>
          <w:shd w:val="clear" w:color="auto" w:fill="FFFFFF"/>
        </w:rPr>
        <w:t>history</w:t>
      </w:r>
      <w:proofErr w:type="spellEnd"/>
      <w:r w:rsidRPr="00562834">
        <w:rPr>
          <w:shd w:val="clear" w:color="auto" w:fill="FFFFFF"/>
        </w:rPr>
        <w:t xml:space="preserve"> </w:t>
      </w:r>
      <w:proofErr w:type="spellStart"/>
      <w:r w:rsidRPr="00562834">
        <w:rPr>
          <w:shd w:val="clear" w:color="auto" w:fill="FFFFFF"/>
        </w:rPr>
        <w:t>repeating</w:t>
      </w:r>
      <w:proofErr w:type="spellEnd"/>
      <w:r w:rsidRPr="00562834">
        <w:rPr>
          <w:shd w:val="clear" w:color="auto" w:fill="FFFFFF"/>
        </w:rPr>
        <w:t xml:space="preserve"> </w:t>
      </w:r>
      <w:proofErr w:type="spellStart"/>
      <w:r w:rsidRPr="00562834">
        <w:rPr>
          <w:shd w:val="clear" w:color="auto" w:fill="FFFFFF"/>
        </w:rPr>
        <w:t>itself</w:t>
      </w:r>
      <w:proofErr w:type="spellEnd"/>
      <w:r w:rsidRPr="00562834">
        <w:rPr>
          <w:shd w:val="clear" w:color="auto" w:fill="FFFFFF"/>
        </w:rPr>
        <w:t xml:space="preserve">? </w:t>
      </w:r>
      <w:proofErr w:type="spellStart"/>
      <w:r w:rsidRPr="00562834">
        <w:rPr>
          <w:shd w:val="clear" w:color="auto" w:fill="FFFFFF"/>
        </w:rPr>
        <w:t>the</w:t>
      </w:r>
      <w:proofErr w:type="spellEnd"/>
      <w:r w:rsidRPr="00562834">
        <w:rPr>
          <w:shd w:val="clear" w:color="auto" w:fill="FFFFFF"/>
        </w:rPr>
        <w:t xml:space="preserve"> (un) </w:t>
      </w:r>
      <w:proofErr w:type="spellStart"/>
      <w:r w:rsidRPr="00562834">
        <w:rPr>
          <w:shd w:val="clear" w:color="auto" w:fill="FFFFFF"/>
        </w:rPr>
        <w:t>predictable</w:t>
      </w:r>
      <w:proofErr w:type="spellEnd"/>
      <w:r w:rsidRPr="00562834">
        <w:rPr>
          <w:shd w:val="clear" w:color="auto" w:fill="FFFFFF"/>
        </w:rPr>
        <w:t xml:space="preserve"> </w:t>
      </w:r>
      <w:proofErr w:type="spellStart"/>
      <w:r w:rsidRPr="00562834">
        <w:rPr>
          <w:shd w:val="clear" w:color="auto" w:fill="FFFFFF"/>
        </w:rPr>
        <w:t>past</w:t>
      </w:r>
      <w:proofErr w:type="spellEnd"/>
      <w:r w:rsidRPr="00562834">
        <w:rPr>
          <w:shd w:val="clear" w:color="auto" w:fill="FFFFFF"/>
        </w:rPr>
        <w:t xml:space="preserve"> of </w:t>
      </w:r>
      <w:proofErr w:type="spellStart"/>
      <w:r w:rsidRPr="00562834">
        <w:rPr>
          <w:shd w:val="clear" w:color="auto" w:fill="FFFFFF"/>
        </w:rPr>
        <w:t>esg</w:t>
      </w:r>
      <w:proofErr w:type="spellEnd"/>
      <w:r w:rsidRPr="00562834">
        <w:rPr>
          <w:shd w:val="clear" w:color="auto" w:fill="FFFFFF"/>
        </w:rPr>
        <w:t xml:space="preserve"> </w:t>
      </w:r>
      <w:proofErr w:type="spellStart"/>
      <w:r w:rsidRPr="00562834">
        <w:rPr>
          <w:shd w:val="clear" w:color="auto" w:fill="FFFFFF"/>
        </w:rPr>
        <w:t>ratings</w:t>
      </w:r>
      <w:proofErr w:type="spellEnd"/>
      <w:r w:rsidRPr="00562834">
        <w:rPr>
          <w:shd w:val="clear" w:color="auto" w:fill="FFFFFF"/>
        </w:rPr>
        <w:t>.</w:t>
      </w:r>
      <w:r w:rsidRPr="00562834">
        <w:rPr>
          <w:rStyle w:val="apple-converted-space"/>
          <w:color w:val="222222"/>
          <w:shd w:val="clear" w:color="auto" w:fill="FFFFFF"/>
        </w:rPr>
        <w:t> </w:t>
      </w:r>
      <w:proofErr w:type="spellStart"/>
      <w:r w:rsidRPr="00562834">
        <w:t>The</w:t>
      </w:r>
      <w:proofErr w:type="spellEnd"/>
      <w:r w:rsidRPr="00562834">
        <w:t xml:space="preserve"> (Un) </w:t>
      </w:r>
      <w:proofErr w:type="spellStart"/>
      <w:r w:rsidRPr="00562834">
        <w:t>Predictable</w:t>
      </w:r>
      <w:proofErr w:type="spellEnd"/>
      <w:r w:rsidRPr="00562834">
        <w:t xml:space="preserve"> </w:t>
      </w:r>
      <w:proofErr w:type="spellStart"/>
      <w:r w:rsidRPr="00562834">
        <w:t>Past</w:t>
      </w:r>
      <w:proofErr w:type="spellEnd"/>
      <w:r w:rsidRPr="00562834">
        <w:t xml:space="preserve"> of ESG </w:t>
      </w:r>
      <w:proofErr w:type="spellStart"/>
      <w:r w:rsidRPr="00562834">
        <w:t>Ratings</w:t>
      </w:r>
      <w:proofErr w:type="spellEnd"/>
      <w:r w:rsidRPr="00562834">
        <w:t xml:space="preserve"> (</w:t>
      </w:r>
      <w:proofErr w:type="spellStart"/>
      <w:r w:rsidRPr="00562834">
        <w:t>August</w:t>
      </w:r>
      <w:proofErr w:type="spellEnd"/>
      <w:r w:rsidRPr="00562834">
        <w:t xml:space="preserve"> 24, 2021). </w:t>
      </w:r>
      <w:proofErr w:type="spellStart"/>
      <w:r w:rsidRPr="00562834">
        <w:t>European</w:t>
      </w:r>
      <w:proofErr w:type="spellEnd"/>
      <w:r w:rsidRPr="00562834">
        <w:t xml:space="preserve"> </w:t>
      </w:r>
      <w:proofErr w:type="spellStart"/>
      <w:r w:rsidRPr="00562834">
        <w:t>Corporate</w:t>
      </w:r>
      <w:proofErr w:type="spellEnd"/>
      <w:r w:rsidRPr="00562834">
        <w:t xml:space="preserve"> </w:t>
      </w:r>
      <w:proofErr w:type="spellStart"/>
      <w:r w:rsidRPr="00562834">
        <w:t>Governance</w:t>
      </w:r>
      <w:proofErr w:type="spellEnd"/>
      <w:r w:rsidRPr="00562834">
        <w:t xml:space="preserve"> </w:t>
      </w:r>
      <w:proofErr w:type="spellStart"/>
      <w:r w:rsidRPr="00562834">
        <w:t>Institute</w:t>
      </w:r>
      <w:proofErr w:type="spellEnd"/>
      <w:r w:rsidRPr="00562834">
        <w:t xml:space="preserve">–Finance </w:t>
      </w:r>
      <w:proofErr w:type="spellStart"/>
      <w:r w:rsidRPr="00562834">
        <w:t>Working</w:t>
      </w:r>
      <w:proofErr w:type="spellEnd"/>
      <w:r w:rsidRPr="00562834">
        <w:t xml:space="preserve"> </w:t>
      </w:r>
      <w:proofErr w:type="spellStart"/>
      <w:r w:rsidRPr="00562834">
        <w:t>Paper</w:t>
      </w:r>
      <w:proofErr w:type="spellEnd"/>
      <w:r w:rsidRPr="00562834">
        <w:rPr>
          <w:shd w:val="clear" w:color="auto" w:fill="FFFFFF"/>
        </w:rPr>
        <w:t>,</w:t>
      </w:r>
      <w:r w:rsidRPr="00562834">
        <w:rPr>
          <w:rStyle w:val="apple-converted-space"/>
          <w:color w:val="222222"/>
          <w:shd w:val="clear" w:color="auto" w:fill="FFFFFF"/>
        </w:rPr>
        <w:t> </w:t>
      </w:r>
      <w:r w:rsidRPr="00562834">
        <w:t>708</w:t>
      </w:r>
      <w:r w:rsidRPr="00562834">
        <w:rPr>
          <w:shd w:val="clear" w:color="auto" w:fill="FFFFFF"/>
        </w:rPr>
        <w:t>.</w:t>
      </w:r>
    </w:p>
    <w:p w14:paraId="61A4D612" w14:textId="5E315A4A" w:rsidR="00DB49EB" w:rsidRPr="00562834" w:rsidRDefault="00DB49EB" w:rsidP="00B97734">
      <w:pPr>
        <w:pStyle w:val="NormalWeb"/>
        <w:rPr>
          <w:shd w:val="clear" w:color="auto" w:fill="FFFFFF"/>
        </w:rPr>
      </w:pPr>
      <w:r w:rsidRPr="00562834">
        <w:rPr>
          <w:shd w:val="clear" w:color="auto" w:fill="FFFFFF"/>
        </w:rPr>
        <w:t xml:space="preserve">[10] Sahin, Ö., </w:t>
      </w:r>
      <w:proofErr w:type="spellStart"/>
      <w:r w:rsidRPr="00562834">
        <w:rPr>
          <w:shd w:val="clear" w:color="auto" w:fill="FFFFFF"/>
        </w:rPr>
        <w:t>Bax</w:t>
      </w:r>
      <w:proofErr w:type="spellEnd"/>
      <w:r w:rsidRPr="00562834">
        <w:rPr>
          <w:shd w:val="clear" w:color="auto" w:fill="FFFFFF"/>
        </w:rPr>
        <w:t xml:space="preserve">, K., </w:t>
      </w:r>
      <w:proofErr w:type="spellStart"/>
      <w:r w:rsidRPr="00562834">
        <w:rPr>
          <w:shd w:val="clear" w:color="auto" w:fill="FFFFFF"/>
        </w:rPr>
        <w:t>Czado</w:t>
      </w:r>
      <w:proofErr w:type="spellEnd"/>
      <w:r w:rsidRPr="00562834">
        <w:rPr>
          <w:shd w:val="clear" w:color="auto" w:fill="FFFFFF"/>
        </w:rPr>
        <w:t xml:space="preserve">, C., &amp; </w:t>
      </w:r>
      <w:proofErr w:type="spellStart"/>
      <w:r w:rsidRPr="00562834">
        <w:rPr>
          <w:shd w:val="clear" w:color="auto" w:fill="FFFFFF"/>
        </w:rPr>
        <w:t>Paterlini</w:t>
      </w:r>
      <w:proofErr w:type="spellEnd"/>
      <w:r w:rsidRPr="00562834">
        <w:rPr>
          <w:shd w:val="clear" w:color="auto" w:fill="FFFFFF"/>
        </w:rPr>
        <w:t xml:space="preserve">, S. (2022). </w:t>
      </w:r>
      <w:proofErr w:type="spellStart"/>
      <w:r w:rsidRPr="00562834">
        <w:rPr>
          <w:shd w:val="clear" w:color="auto" w:fill="FFFFFF"/>
        </w:rPr>
        <w:t>Environmental</w:t>
      </w:r>
      <w:proofErr w:type="spellEnd"/>
      <w:r w:rsidRPr="00562834">
        <w:rPr>
          <w:shd w:val="clear" w:color="auto" w:fill="FFFFFF"/>
        </w:rPr>
        <w:t xml:space="preserve">, </w:t>
      </w:r>
      <w:proofErr w:type="spellStart"/>
      <w:r w:rsidRPr="00562834">
        <w:rPr>
          <w:shd w:val="clear" w:color="auto" w:fill="FFFFFF"/>
        </w:rPr>
        <w:t>Social</w:t>
      </w:r>
      <w:proofErr w:type="spellEnd"/>
      <w:r w:rsidRPr="00562834">
        <w:rPr>
          <w:shd w:val="clear" w:color="auto" w:fill="FFFFFF"/>
        </w:rPr>
        <w:t xml:space="preserve">, </w:t>
      </w:r>
      <w:proofErr w:type="spellStart"/>
      <w:r w:rsidRPr="00562834">
        <w:rPr>
          <w:shd w:val="clear" w:color="auto" w:fill="FFFFFF"/>
        </w:rPr>
        <w:t>Governance</w:t>
      </w:r>
      <w:proofErr w:type="spellEnd"/>
      <w:r w:rsidRPr="00562834">
        <w:rPr>
          <w:shd w:val="clear" w:color="auto" w:fill="FFFFFF"/>
        </w:rPr>
        <w:t xml:space="preserve"> </w:t>
      </w:r>
      <w:proofErr w:type="spellStart"/>
      <w:r w:rsidRPr="00562834">
        <w:rPr>
          <w:shd w:val="clear" w:color="auto" w:fill="FFFFFF"/>
        </w:rPr>
        <w:t>scores</w:t>
      </w:r>
      <w:proofErr w:type="spellEnd"/>
      <w:r w:rsidRPr="00562834">
        <w:rPr>
          <w:shd w:val="clear" w:color="auto" w:fill="FFFFFF"/>
        </w:rPr>
        <w:t xml:space="preserve"> </w:t>
      </w:r>
      <w:proofErr w:type="spellStart"/>
      <w:r w:rsidRPr="00562834">
        <w:rPr>
          <w:shd w:val="clear" w:color="auto" w:fill="FFFFFF"/>
        </w:rPr>
        <w:t>and</w:t>
      </w:r>
      <w:proofErr w:type="spellEnd"/>
      <w:r w:rsidRPr="00562834">
        <w:rPr>
          <w:shd w:val="clear" w:color="auto" w:fill="FFFFFF"/>
        </w:rPr>
        <w:t xml:space="preserve"> </w:t>
      </w:r>
      <w:proofErr w:type="spellStart"/>
      <w:r w:rsidRPr="00562834">
        <w:rPr>
          <w:shd w:val="clear" w:color="auto" w:fill="FFFFFF"/>
        </w:rPr>
        <w:t>the</w:t>
      </w:r>
      <w:proofErr w:type="spellEnd"/>
      <w:r w:rsidRPr="00562834">
        <w:rPr>
          <w:shd w:val="clear" w:color="auto" w:fill="FFFFFF"/>
        </w:rPr>
        <w:t xml:space="preserve"> </w:t>
      </w:r>
      <w:proofErr w:type="spellStart"/>
      <w:r w:rsidRPr="00562834">
        <w:rPr>
          <w:shd w:val="clear" w:color="auto" w:fill="FFFFFF"/>
        </w:rPr>
        <w:t>Missing</w:t>
      </w:r>
      <w:proofErr w:type="spellEnd"/>
      <w:r w:rsidRPr="00562834">
        <w:rPr>
          <w:shd w:val="clear" w:color="auto" w:fill="FFFFFF"/>
        </w:rPr>
        <w:t xml:space="preserve"> </w:t>
      </w:r>
      <w:proofErr w:type="spellStart"/>
      <w:r w:rsidRPr="00562834">
        <w:rPr>
          <w:shd w:val="clear" w:color="auto" w:fill="FFFFFF"/>
        </w:rPr>
        <w:t>pillar</w:t>
      </w:r>
      <w:proofErr w:type="spellEnd"/>
      <w:r w:rsidRPr="00562834">
        <w:rPr>
          <w:shd w:val="clear" w:color="auto" w:fill="FFFFFF"/>
        </w:rPr>
        <w:t>—</w:t>
      </w:r>
      <w:proofErr w:type="spellStart"/>
      <w:r w:rsidRPr="00562834">
        <w:rPr>
          <w:shd w:val="clear" w:color="auto" w:fill="FFFFFF"/>
        </w:rPr>
        <w:t>Why</w:t>
      </w:r>
      <w:proofErr w:type="spellEnd"/>
      <w:r w:rsidRPr="00562834">
        <w:rPr>
          <w:shd w:val="clear" w:color="auto" w:fill="FFFFFF"/>
        </w:rPr>
        <w:t xml:space="preserve"> </w:t>
      </w:r>
      <w:proofErr w:type="spellStart"/>
      <w:r w:rsidRPr="00562834">
        <w:rPr>
          <w:shd w:val="clear" w:color="auto" w:fill="FFFFFF"/>
        </w:rPr>
        <w:t>does</w:t>
      </w:r>
      <w:proofErr w:type="spellEnd"/>
      <w:r w:rsidRPr="00562834">
        <w:rPr>
          <w:shd w:val="clear" w:color="auto" w:fill="FFFFFF"/>
        </w:rPr>
        <w:t xml:space="preserve"> </w:t>
      </w:r>
      <w:proofErr w:type="spellStart"/>
      <w:r w:rsidRPr="00562834">
        <w:rPr>
          <w:shd w:val="clear" w:color="auto" w:fill="FFFFFF"/>
        </w:rPr>
        <w:t>missing</w:t>
      </w:r>
      <w:proofErr w:type="spellEnd"/>
      <w:r w:rsidRPr="00562834">
        <w:rPr>
          <w:shd w:val="clear" w:color="auto" w:fill="FFFFFF"/>
        </w:rPr>
        <w:t xml:space="preserve"> </w:t>
      </w:r>
      <w:proofErr w:type="spellStart"/>
      <w:r w:rsidRPr="00562834">
        <w:rPr>
          <w:shd w:val="clear" w:color="auto" w:fill="FFFFFF"/>
        </w:rPr>
        <w:t>information</w:t>
      </w:r>
      <w:proofErr w:type="spellEnd"/>
      <w:r w:rsidRPr="00562834">
        <w:rPr>
          <w:shd w:val="clear" w:color="auto" w:fill="FFFFFF"/>
        </w:rPr>
        <w:t xml:space="preserve"> </w:t>
      </w:r>
      <w:proofErr w:type="spellStart"/>
      <w:r w:rsidRPr="00562834">
        <w:rPr>
          <w:shd w:val="clear" w:color="auto" w:fill="FFFFFF"/>
        </w:rPr>
        <w:t>matter</w:t>
      </w:r>
      <w:proofErr w:type="spellEnd"/>
      <w:r w:rsidRPr="00562834">
        <w:rPr>
          <w:shd w:val="clear" w:color="auto" w:fill="FFFFFF"/>
        </w:rPr>
        <w:t>?.</w:t>
      </w:r>
      <w:r w:rsidRPr="00562834">
        <w:rPr>
          <w:rStyle w:val="apple-converted-space"/>
          <w:color w:val="222222"/>
          <w:shd w:val="clear" w:color="auto" w:fill="FFFFFF"/>
        </w:rPr>
        <w:t> </w:t>
      </w:r>
      <w:proofErr w:type="spellStart"/>
      <w:r w:rsidRPr="00562834">
        <w:rPr>
          <w:i/>
          <w:iCs/>
        </w:rPr>
        <w:t>Corporate</w:t>
      </w:r>
      <w:proofErr w:type="spellEnd"/>
      <w:r w:rsidRPr="00562834">
        <w:rPr>
          <w:i/>
          <w:iCs/>
        </w:rPr>
        <w:t xml:space="preserve"> </w:t>
      </w:r>
      <w:proofErr w:type="spellStart"/>
      <w:r w:rsidRPr="00562834">
        <w:rPr>
          <w:i/>
          <w:iCs/>
        </w:rPr>
        <w:t>Social</w:t>
      </w:r>
      <w:proofErr w:type="spellEnd"/>
      <w:r w:rsidRPr="00562834">
        <w:rPr>
          <w:i/>
          <w:iCs/>
        </w:rPr>
        <w:t xml:space="preserve"> </w:t>
      </w:r>
      <w:proofErr w:type="spellStart"/>
      <w:r w:rsidRPr="00562834">
        <w:rPr>
          <w:i/>
          <w:iCs/>
        </w:rPr>
        <w:t>Responsibility</w:t>
      </w:r>
      <w:proofErr w:type="spellEnd"/>
      <w:r w:rsidRPr="00562834">
        <w:rPr>
          <w:i/>
          <w:iCs/>
        </w:rPr>
        <w:t xml:space="preserve"> </w:t>
      </w:r>
      <w:proofErr w:type="spellStart"/>
      <w:r w:rsidRPr="00562834">
        <w:rPr>
          <w:i/>
          <w:iCs/>
        </w:rPr>
        <w:t>and</w:t>
      </w:r>
      <w:proofErr w:type="spellEnd"/>
      <w:r w:rsidRPr="00562834">
        <w:rPr>
          <w:i/>
          <w:iCs/>
        </w:rPr>
        <w:t xml:space="preserve"> </w:t>
      </w:r>
      <w:proofErr w:type="spellStart"/>
      <w:r w:rsidRPr="00562834">
        <w:rPr>
          <w:i/>
          <w:iCs/>
        </w:rPr>
        <w:t>Environmental</w:t>
      </w:r>
      <w:proofErr w:type="spellEnd"/>
      <w:r w:rsidRPr="00562834">
        <w:rPr>
          <w:i/>
          <w:iCs/>
        </w:rPr>
        <w:t xml:space="preserve"> Management</w:t>
      </w:r>
      <w:r w:rsidRPr="00562834">
        <w:rPr>
          <w:shd w:val="clear" w:color="auto" w:fill="FFFFFF"/>
        </w:rPr>
        <w:t>,</w:t>
      </w:r>
      <w:r w:rsidRPr="00562834">
        <w:rPr>
          <w:rStyle w:val="apple-converted-space"/>
          <w:color w:val="222222"/>
          <w:shd w:val="clear" w:color="auto" w:fill="FFFFFF"/>
        </w:rPr>
        <w:t> </w:t>
      </w:r>
      <w:r w:rsidRPr="00562834">
        <w:rPr>
          <w:i/>
          <w:iCs/>
        </w:rPr>
        <w:t>29</w:t>
      </w:r>
      <w:r w:rsidRPr="00562834">
        <w:rPr>
          <w:shd w:val="clear" w:color="auto" w:fill="FFFFFF"/>
        </w:rPr>
        <w:t>(5), 1782-1798.</w:t>
      </w:r>
    </w:p>
    <w:p w14:paraId="2661B89A" w14:textId="7E8ABE0C" w:rsidR="00E000C3" w:rsidRPr="00562834" w:rsidRDefault="00E000C3" w:rsidP="00B97734">
      <w:pPr>
        <w:pStyle w:val="NormalWeb"/>
        <w:rPr>
          <w:shd w:val="clear" w:color="auto" w:fill="FFFFFF"/>
        </w:rPr>
      </w:pPr>
      <w:r w:rsidRPr="00562834">
        <w:rPr>
          <w:shd w:val="clear" w:color="auto" w:fill="FFFFFF"/>
        </w:rPr>
        <w:t>[11]</w:t>
      </w:r>
      <w:r w:rsidR="005F7D61" w:rsidRPr="00562834">
        <w:rPr>
          <w:shd w:val="clear" w:color="auto" w:fill="FFFFFF"/>
        </w:rPr>
        <w:t xml:space="preserve"> Ademi, B., &amp; </w:t>
      </w:r>
      <w:proofErr w:type="spellStart"/>
      <w:r w:rsidR="005F7D61" w:rsidRPr="00562834">
        <w:rPr>
          <w:shd w:val="clear" w:color="auto" w:fill="FFFFFF"/>
        </w:rPr>
        <w:t>Klungseth</w:t>
      </w:r>
      <w:proofErr w:type="spellEnd"/>
      <w:r w:rsidR="005F7D61" w:rsidRPr="00562834">
        <w:rPr>
          <w:shd w:val="clear" w:color="auto" w:fill="FFFFFF"/>
        </w:rPr>
        <w:t xml:space="preserve">, N. J. (2022). </w:t>
      </w:r>
      <w:proofErr w:type="spellStart"/>
      <w:r w:rsidR="005F7D61" w:rsidRPr="00562834">
        <w:rPr>
          <w:shd w:val="clear" w:color="auto" w:fill="FFFFFF"/>
        </w:rPr>
        <w:t>Does</w:t>
      </w:r>
      <w:proofErr w:type="spellEnd"/>
      <w:r w:rsidR="005F7D61" w:rsidRPr="00562834">
        <w:rPr>
          <w:shd w:val="clear" w:color="auto" w:fill="FFFFFF"/>
        </w:rPr>
        <w:t xml:space="preserve"> it pay </w:t>
      </w:r>
      <w:proofErr w:type="spellStart"/>
      <w:r w:rsidR="005F7D61" w:rsidRPr="00562834">
        <w:rPr>
          <w:shd w:val="clear" w:color="auto" w:fill="FFFFFF"/>
        </w:rPr>
        <w:t>to</w:t>
      </w:r>
      <w:proofErr w:type="spellEnd"/>
      <w:r w:rsidR="005F7D61" w:rsidRPr="00562834">
        <w:rPr>
          <w:shd w:val="clear" w:color="auto" w:fill="FFFFFF"/>
        </w:rPr>
        <w:t xml:space="preserve"> deliver </w:t>
      </w:r>
      <w:proofErr w:type="spellStart"/>
      <w:r w:rsidR="005F7D61" w:rsidRPr="00562834">
        <w:rPr>
          <w:shd w:val="clear" w:color="auto" w:fill="FFFFFF"/>
        </w:rPr>
        <w:t>superior</w:t>
      </w:r>
      <w:proofErr w:type="spellEnd"/>
      <w:r w:rsidR="005F7D61" w:rsidRPr="00562834">
        <w:rPr>
          <w:shd w:val="clear" w:color="auto" w:fill="FFFFFF"/>
        </w:rPr>
        <w:t xml:space="preserve"> ESG </w:t>
      </w:r>
      <w:proofErr w:type="spellStart"/>
      <w:r w:rsidR="005F7D61" w:rsidRPr="00562834">
        <w:rPr>
          <w:shd w:val="clear" w:color="auto" w:fill="FFFFFF"/>
        </w:rPr>
        <w:t>performance</w:t>
      </w:r>
      <w:proofErr w:type="spellEnd"/>
      <w:r w:rsidR="005F7D61" w:rsidRPr="00562834">
        <w:rPr>
          <w:shd w:val="clear" w:color="auto" w:fill="FFFFFF"/>
        </w:rPr>
        <w:t xml:space="preserve">? </w:t>
      </w:r>
      <w:proofErr w:type="spellStart"/>
      <w:r w:rsidR="005F7D61" w:rsidRPr="00562834">
        <w:rPr>
          <w:shd w:val="clear" w:color="auto" w:fill="FFFFFF"/>
        </w:rPr>
        <w:t>Evidence</w:t>
      </w:r>
      <w:proofErr w:type="spellEnd"/>
      <w:r w:rsidR="005F7D61" w:rsidRPr="00562834">
        <w:rPr>
          <w:shd w:val="clear" w:color="auto" w:fill="FFFFFF"/>
        </w:rPr>
        <w:t xml:space="preserve"> </w:t>
      </w:r>
      <w:proofErr w:type="spellStart"/>
      <w:r w:rsidR="005F7D61" w:rsidRPr="00562834">
        <w:rPr>
          <w:shd w:val="clear" w:color="auto" w:fill="FFFFFF"/>
        </w:rPr>
        <w:t>from</w:t>
      </w:r>
      <w:proofErr w:type="spellEnd"/>
      <w:r w:rsidR="005F7D61" w:rsidRPr="00562834">
        <w:rPr>
          <w:shd w:val="clear" w:color="auto" w:fill="FFFFFF"/>
        </w:rPr>
        <w:t xml:space="preserve"> US S&amp;P 500 </w:t>
      </w:r>
      <w:proofErr w:type="spellStart"/>
      <w:r w:rsidR="005F7D61" w:rsidRPr="00562834">
        <w:rPr>
          <w:shd w:val="clear" w:color="auto" w:fill="FFFFFF"/>
        </w:rPr>
        <w:t>companies</w:t>
      </w:r>
      <w:proofErr w:type="spellEnd"/>
      <w:r w:rsidR="005F7D61" w:rsidRPr="00562834">
        <w:rPr>
          <w:shd w:val="clear" w:color="auto" w:fill="FFFFFF"/>
        </w:rPr>
        <w:t>.</w:t>
      </w:r>
      <w:r w:rsidR="005F7D61" w:rsidRPr="00562834">
        <w:rPr>
          <w:rStyle w:val="apple-converted-space"/>
          <w:color w:val="222222"/>
          <w:shd w:val="clear" w:color="auto" w:fill="FFFFFF"/>
        </w:rPr>
        <w:t> </w:t>
      </w:r>
      <w:proofErr w:type="spellStart"/>
      <w:r w:rsidR="005F7D61" w:rsidRPr="00562834">
        <w:rPr>
          <w:i/>
          <w:iCs/>
        </w:rPr>
        <w:t>Journal</w:t>
      </w:r>
      <w:proofErr w:type="spellEnd"/>
      <w:r w:rsidR="005F7D61" w:rsidRPr="00562834">
        <w:rPr>
          <w:i/>
          <w:iCs/>
        </w:rPr>
        <w:t xml:space="preserve"> of Global </w:t>
      </w:r>
      <w:proofErr w:type="spellStart"/>
      <w:r w:rsidR="005F7D61" w:rsidRPr="00562834">
        <w:rPr>
          <w:i/>
          <w:iCs/>
        </w:rPr>
        <w:t>Responsibility</w:t>
      </w:r>
      <w:proofErr w:type="spellEnd"/>
      <w:r w:rsidR="005F7D61" w:rsidRPr="00562834">
        <w:rPr>
          <w:shd w:val="clear" w:color="auto" w:fill="FFFFFF"/>
        </w:rPr>
        <w:t>, (</w:t>
      </w:r>
      <w:proofErr w:type="spellStart"/>
      <w:r w:rsidR="005F7D61" w:rsidRPr="00562834">
        <w:rPr>
          <w:shd w:val="clear" w:color="auto" w:fill="FFFFFF"/>
        </w:rPr>
        <w:t>ahead</w:t>
      </w:r>
      <w:proofErr w:type="spellEnd"/>
      <w:r w:rsidR="005F7D61" w:rsidRPr="00562834">
        <w:rPr>
          <w:shd w:val="clear" w:color="auto" w:fill="FFFFFF"/>
        </w:rPr>
        <w:t>-of-</w:t>
      </w:r>
      <w:proofErr w:type="spellStart"/>
      <w:r w:rsidR="005F7D61" w:rsidRPr="00562834">
        <w:rPr>
          <w:shd w:val="clear" w:color="auto" w:fill="FFFFFF"/>
        </w:rPr>
        <w:t>print</w:t>
      </w:r>
      <w:proofErr w:type="spellEnd"/>
      <w:r w:rsidR="005F7D61" w:rsidRPr="00562834">
        <w:rPr>
          <w:shd w:val="clear" w:color="auto" w:fill="FFFFFF"/>
        </w:rPr>
        <w:t>).</w:t>
      </w:r>
    </w:p>
    <w:p w14:paraId="195A696B" w14:textId="02968798" w:rsidR="00E000C3" w:rsidRPr="00562834" w:rsidRDefault="00E000C3" w:rsidP="00B97734">
      <w:pPr>
        <w:pStyle w:val="NormalWeb"/>
        <w:rPr>
          <w:shd w:val="clear" w:color="auto" w:fill="FFFFFF"/>
        </w:rPr>
      </w:pPr>
      <w:r w:rsidRPr="00562834">
        <w:rPr>
          <w:shd w:val="clear" w:color="auto" w:fill="FFFFFF"/>
        </w:rPr>
        <w:t>[12]</w:t>
      </w:r>
      <w:r w:rsidR="005F7D61" w:rsidRPr="00562834">
        <w:rPr>
          <w:shd w:val="clear" w:color="auto" w:fill="FFFFFF"/>
        </w:rPr>
        <w:t xml:space="preserve"> Cornell, B., &amp; </w:t>
      </w:r>
      <w:proofErr w:type="spellStart"/>
      <w:r w:rsidR="005F7D61" w:rsidRPr="00562834">
        <w:rPr>
          <w:shd w:val="clear" w:color="auto" w:fill="FFFFFF"/>
        </w:rPr>
        <w:t>Damodaran</w:t>
      </w:r>
      <w:proofErr w:type="spellEnd"/>
      <w:r w:rsidR="005F7D61" w:rsidRPr="00562834">
        <w:rPr>
          <w:shd w:val="clear" w:color="auto" w:fill="FFFFFF"/>
        </w:rPr>
        <w:t xml:space="preserve">, A. (2020). </w:t>
      </w:r>
      <w:proofErr w:type="spellStart"/>
      <w:r w:rsidR="005F7D61" w:rsidRPr="00562834">
        <w:rPr>
          <w:shd w:val="clear" w:color="auto" w:fill="FFFFFF"/>
        </w:rPr>
        <w:t>Valuing</w:t>
      </w:r>
      <w:proofErr w:type="spellEnd"/>
      <w:r w:rsidR="005F7D61" w:rsidRPr="00562834">
        <w:rPr>
          <w:shd w:val="clear" w:color="auto" w:fill="FFFFFF"/>
        </w:rPr>
        <w:t xml:space="preserve"> ESG: </w:t>
      </w:r>
      <w:proofErr w:type="spellStart"/>
      <w:r w:rsidR="005F7D61" w:rsidRPr="00562834">
        <w:rPr>
          <w:shd w:val="clear" w:color="auto" w:fill="FFFFFF"/>
        </w:rPr>
        <w:t>Doing</w:t>
      </w:r>
      <w:proofErr w:type="spellEnd"/>
      <w:r w:rsidR="005F7D61" w:rsidRPr="00562834">
        <w:rPr>
          <w:shd w:val="clear" w:color="auto" w:fill="FFFFFF"/>
        </w:rPr>
        <w:t xml:space="preserve"> </w:t>
      </w:r>
      <w:proofErr w:type="spellStart"/>
      <w:r w:rsidR="005F7D61" w:rsidRPr="00562834">
        <w:rPr>
          <w:shd w:val="clear" w:color="auto" w:fill="FFFFFF"/>
        </w:rPr>
        <w:t>good</w:t>
      </w:r>
      <w:proofErr w:type="spellEnd"/>
      <w:r w:rsidR="005F7D61" w:rsidRPr="00562834">
        <w:rPr>
          <w:shd w:val="clear" w:color="auto" w:fill="FFFFFF"/>
        </w:rPr>
        <w:t xml:space="preserve"> </w:t>
      </w:r>
      <w:proofErr w:type="spellStart"/>
      <w:r w:rsidR="005F7D61" w:rsidRPr="00562834">
        <w:rPr>
          <w:shd w:val="clear" w:color="auto" w:fill="FFFFFF"/>
        </w:rPr>
        <w:t>or</w:t>
      </w:r>
      <w:proofErr w:type="spellEnd"/>
      <w:r w:rsidR="005F7D61" w:rsidRPr="00562834">
        <w:rPr>
          <w:shd w:val="clear" w:color="auto" w:fill="FFFFFF"/>
        </w:rPr>
        <w:t xml:space="preserve"> </w:t>
      </w:r>
      <w:proofErr w:type="spellStart"/>
      <w:r w:rsidR="005F7D61" w:rsidRPr="00562834">
        <w:rPr>
          <w:shd w:val="clear" w:color="auto" w:fill="FFFFFF"/>
        </w:rPr>
        <w:t>sounding</w:t>
      </w:r>
      <w:proofErr w:type="spellEnd"/>
      <w:r w:rsidR="005F7D61" w:rsidRPr="00562834">
        <w:rPr>
          <w:shd w:val="clear" w:color="auto" w:fill="FFFFFF"/>
        </w:rPr>
        <w:t xml:space="preserve"> </w:t>
      </w:r>
      <w:proofErr w:type="spellStart"/>
      <w:r w:rsidR="005F7D61" w:rsidRPr="00562834">
        <w:rPr>
          <w:shd w:val="clear" w:color="auto" w:fill="FFFFFF"/>
        </w:rPr>
        <w:t>good</w:t>
      </w:r>
      <w:proofErr w:type="spellEnd"/>
      <w:r w:rsidR="005F7D61" w:rsidRPr="00562834">
        <w:rPr>
          <w:shd w:val="clear" w:color="auto" w:fill="FFFFFF"/>
        </w:rPr>
        <w:t>?.</w:t>
      </w:r>
      <w:r w:rsidR="005F7D61" w:rsidRPr="00562834">
        <w:rPr>
          <w:rStyle w:val="apple-converted-space"/>
          <w:color w:val="222222"/>
          <w:shd w:val="clear" w:color="auto" w:fill="FFFFFF"/>
        </w:rPr>
        <w:t> </w:t>
      </w:r>
      <w:r w:rsidR="005F7D61" w:rsidRPr="00562834">
        <w:rPr>
          <w:i/>
          <w:iCs/>
        </w:rPr>
        <w:t xml:space="preserve">NYU </w:t>
      </w:r>
      <w:proofErr w:type="spellStart"/>
      <w:r w:rsidR="005F7D61" w:rsidRPr="00562834">
        <w:rPr>
          <w:i/>
          <w:iCs/>
        </w:rPr>
        <w:t>Stern</w:t>
      </w:r>
      <w:proofErr w:type="spellEnd"/>
      <w:r w:rsidR="005F7D61" w:rsidRPr="00562834">
        <w:rPr>
          <w:i/>
          <w:iCs/>
        </w:rPr>
        <w:t xml:space="preserve"> School of Business</w:t>
      </w:r>
      <w:r w:rsidR="005F7D61" w:rsidRPr="00562834">
        <w:rPr>
          <w:shd w:val="clear" w:color="auto" w:fill="FFFFFF"/>
        </w:rPr>
        <w:t>.</w:t>
      </w:r>
    </w:p>
    <w:p w14:paraId="31C23F2A" w14:textId="1F0BC4FD" w:rsidR="00E000C3" w:rsidRPr="00562834" w:rsidRDefault="00E000C3" w:rsidP="00B97734">
      <w:pPr>
        <w:pStyle w:val="NormalWeb"/>
        <w:rPr>
          <w:shd w:val="clear" w:color="auto" w:fill="FFFFFF"/>
        </w:rPr>
      </w:pPr>
      <w:r w:rsidRPr="00562834">
        <w:rPr>
          <w:shd w:val="clear" w:color="auto" w:fill="FFFFFF"/>
        </w:rPr>
        <w:t>[13]</w:t>
      </w:r>
      <w:r w:rsidR="005F7D61" w:rsidRPr="00562834">
        <w:rPr>
          <w:shd w:val="clear" w:color="auto" w:fill="FFFFFF"/>
        </w:rPr>
        <w:t xml:space="preserve"> </w:t>
      </w:r>
      <w:proofErr w:type="spellStart"/>
      <w:r w:rsidR="005F7D61" w:rsidRPr="00562834">
        <w:rPr>
          <w:shd w:val="clear" w:color="auto" w:fill="FFFFFF"/>
        </w:rPr>
        <w:t>Liu</w:t>
      </w:r>
      <w:proofErr w:type="spellEnd"/>
      <w:r w:rsidR="005F7D61" w:rsidRPr="00562834">
        <w:rPr>
          <w:shd w:val="clear" w:color="auto" w:fill="FFFFFF"/>
        </w:rPr>
        <w:t xml:space="preserve">, P., </w:t>
      </w:r>
      <w:proofErr w:type="spellStart"/>
      <w:r w:rsidR="005F7D61" w:rsidRPr="00562834">
        <w:rPr>
          <w:shd w:val="clear" w:color="auto" w:fill="FFFFFF"/>
        </w:rPr>
        <w:t>Zhu</w:t>
      </w:r>
      <w:proofErr w:type="spellEnd"/>
      <w:r w:rsidR="005F7D61" w:rsidRPr="00562834">
        <w:rPr>
          <w:shd w:val="clear" w:color="auto" w:fill="FFFFFF"/>
        </w:rPr>
        <w:t xml:space="preserve">, B., </w:t>
      </w:r>
      <w:proofErr w:type="spellStart"/>
      <w:r w:rsidR="005F7D61" w:rsidRPr="00562834">
        <w:rPr>
          <w:shd w:val="clear" w:color="auto" w:fill="FFFFFF"/>
        </w:rPr>
        <w:t>Yang</w:t>
      </w:r>
      <w:proofErr w:type="spellEnd"/>
      <w:r w:rsidR="005F7D61" w:rsidRPr="00562834">
        <w:rPr>
          <w:shd w:val="clear" w:color="auto" w:fill="FFFFFF"/>
        </w:rPr>
        <w:t xml:space="preserve">, M., &amp; </w:t>
      </w:r>
      <w:proofErr w:type="spellStart"/>
      <w:r w:rsidR="005F7D61" w:rsidRPr="00562834">
        <w:rPr>
          <w:shd w:val="clear" w:color="auto" w:fill="FFFFFF"/>
        </w:rPr>
        <w:t>Chu</w:t>
      </w:r>
      <w:proofErr w:type="spellEnd"/>
      <w:r w:rsidR="005F7D61" w:rsidRPr="00562834">
        <w:rPr>
          <w:shd w:val="clear" w:color="auto" w:fill="FFFFFF"/>
        </w:rPr>
        <w:t xml:space="preserve">, X. (2022). ESG </w:t>
      </w:r>
      <w:proofErr w:type="spellStart"/>
      <w:r w:rsidR="005F7D61" w:rsidRPr="00562834">
        <w:rPr>
          <w:shd w:val="clear" w:color="auto" w:fill="FFFFFF"/>
        </w:rPr>
        <w:t>and</w:t>
      </w:r>
      <w:proofErr w:type="spellEnd"/>
      <w:r w:rsidR="005F7D61" w:rsidRPr="00562834">
        <w:rPr>
          <w:shd w:val="clear" w:color="auto" w:fill="FFFFFF"/>
        </w:rPr>
        <w:t xml:space="preserve"> </w:t>
      </w:r>
      <w:proofErr w:type="spellStart"/>
      <w:r w:rsidR="005F7D61" w:rsidRPr="00562834">
        <w:rPr>
          <w:shd w:val="clear" w:color="auto" w:fill="FFFFFF"/>
        </w:rPr>
        <w:t>financial</w:t>
      </w:r>
      <w:proofErr w:type="spellEnd"/>
      <w:r w:rsidR="005F7D61" w:rsidRPr="00562834">
        <w:rPr>
          <w:shd w:val="clear" w:color="auto" w:fill="FFFFFF"/>
        </w:rPr>
        <w:t xml:space="preserve"> </w:t>
      </w:r>
      <w:proofErr w:type="spellStart"/>
      <w:r w:rsidR="005F7D61" w:rsidRPr="00562834">
        <w:rPr>
          <w:shd w:val="clear" w:color="auto" w:fill="FFFFFF"/>
        </w:rPr>
        <w:t>performance</w:t>
      </w:r>
      <w:proofErr w:type="spellEnd"/>
      <w:r w:rsidR="005F7D61" w:rsidRPr="00562834">
        <w:rPr>
          <w:shd w:val="clear" w:color="auto" w:fill="FFFFFF"/>
        </w:rPr>
        <w:t xml:space="preserve">: A </w:t>
      </w:r>
      <w:proofErr w:type="spellStart"/>
      <w:r w:rsidR="005F7D61" w:rsidRPr="00562834">
        <w:rPr>
          <w:shd w:val="clear" w:color="auto" w:fill="FFFFFF"/>
        </w:rPr>
        <w:t>qualitative</w:t>
      </w:r>
      <w:proofErr w:type="spellEnd"/>
      <w:r w:rsidR="005F7D61" w:rsidRPr="00562834">
        <w:rPr>
          <w:shd w:val="clear" w:color="auto" w:fill="FFFFFF"/>
        </w:rPr>
        <w:t xml:space="preserve"> </w:t>
      </w:r>
      <w:proofErr w:type="spellStart"/>
      <w:r w:rsidR="005F7D61" w:rsidRPr="00562834">
        <w:rPr>
          <w:shd w:val="clear" w:color="auto" w:fill="FFFFFF"/>
        </w:rPr>
        <w:t>comparative</w:t>
      </w:r>
      <w:proofErr w:type="spellEnd"/>
      <w:r w:rsidR="005F7D61" w:rsidRPr="00562834">
        <w:rPr>
          <w:shd w:val="clear" w:color="auto" w:fill="FFFFFF"/>
        </w:rPr>
        <w:t xml:space="preserve"> </w:t>
      </w:r>
      <w:proofErr w:type="spellStart"/>
      <w:r w:rsidR="005F7D61" w:rsidRPr="00562834">
        <w:rPr>
          <w:shd w:val="clear" w:color="auto" w:fill="FFFFFF"/>
        </w:rPr>
        <w:t>analysis</w:t>
      </w:r>
      <w:proofErr w:type="spellEnd"/>
      <w:r w:rsidR="005F7D61" w:rsidRPr="00562834">
        <w:rPr>
          <w:shd w:val="clear" w:color="auto" w:fill="FFFFFF"/>
        </w:rPr>
        <w:t xml:space="preserve"> in </w:t>
      </w:r>
      <w:proofErr w:type="spellStart"/>
      <w:r w:rsidR="005F7D61" w:rsidRPr="00562834">
        <w:rPr>
          <w:shd w:val="clear" w:color="auto" w:fill="FFFFFF"/>
        </w:rPr>
        <w:t>China's</w:t>
      </w:r>
      <w:proofErr w:type="spellEnd"/>
      <w:r w:rsidR="005F7D61" w:rsidRPr="00562834">
        <w:rPr>
          <w:shd w:val="clear" w:color="auto" w:fill="FFFFFF"/>
        </w:rPr>
        <w:t xml:space="preserve"> </w:t>
      </w:r>
      <w:proofErr w:type="spellStart"/>
      <w:r w:rsidR="005F7D61" w:rsidRPr="00562834">
        <w:rPr>
          <w:shd w:val="clear" w:color="auto" w:fill="FFFFFF"/>
        </w:rPr>
        <w:t>new</w:t>
      </w:r>
      <w:proofErr w:type="spellEnd"/>
      <w:r w:rsidR="005F7D61" w:rsidRPr="00562834">
        <w:rPr>
          <w:shd w:val="clear" w:color="auto" w:fill="FFFFFF"/>
        </w:rPr>
        <w:t xml:space="preserve"> </w:t>
      </w:r>
      <w:proofErr w:type="spellStart"/>
      <w:r w:rsidR="005F7D61" w:rsidRPr="00562834">
        <w:rPr>
          <w:shd w:val="clear" w:color="auto" w:fill="FFFFFF"/>
        </w:rPr>
        <w:t>energy</w:t>
      </w:r>
      <w:proofErr w:type="spellEnd"/>
      <w:r w:rsidR="005F7D61" w:rsidRPr="00562834">
        <w:rPr>
          <w:shd w:val="clear" w:color="auto" w:fill="FFFFFF"/>
        </w:rPr>
        <w:t xml:space="preserve"> </w:t>
      </w:r>
      <w:proofErr w:type="spellStart"/>
      <w:r w:rsidR="005F7D61" w:rsidRPr="00562834">
        <w:rPr>
          <w:shd w:val="clear" w:color="auto" w:fill="FFFFFF"/>
        </w:rPr>
        <w:t>companies</w:t>
      </w:r>
      <w:proofErr w:type="spellEnd"/>
      <w:r w:rsidR="005F7D61" w:rsidRPr="00562834">
        <w:rPr>
          <w:shd w:val="clear" w:color="auto" w:fill="FFFFFF"/>
        </w:rPr>
        <w:t>.</w:t>
      </w:r>
      <w:r w:rsidR="005F7D61" w:rsidRPr="00562834">
        <w:rPr>
          <w:rStyle w:val="apple-converted-space"/>
          <w:color w:val="222222"/>
          <w:shd w:val="clear" w:color="auto" w:fill="FFFFFF"/>
        </w:rPr>
        <w:t> </w:t>
      </w:r>
      <w:proofErr w:type="spellStart"/>
      <w:r w:rsidR="005F7D61" w:rsidRPr="00562834">
        <w:rPr>
          <w:i/>
          <w:iCs/>
        </w:rPr>
        <w:t>Journal</w:t>
      </w:r>
      <w:proofErr w:type="spellEnd"/>
      <w:r w:rsidR="005F7D61" w:rsidRPr="00562834">
        <w:rPr>
          <w:i/>
          <w:iCs/>
        </w:rPr>
        <w:t xml:space="preserve"> of </w:t>
      </w:r>
      <w:proofErr w:type="spellStart"/>
      <w:r w:rsidR="005F7D61" w:rsidRPr="00562834">
        <w:rPr>
          <w:i/>
          <w:iCs/>
        </w:rPr>
        <w:t>Cleaner</w:t>
      </w:r>
      <w:proofErr w:type="spellEnd"/>
      <w:r w:rsidR="005F7D61" w:rsidRPr="00562834">
        <w:rPr>
          <w:i/>
          <w:iCs/>
        </w:rPr>
        <w:t xml:space="preserve"> </w:t>
      </w:r>
      <w:proofErr w:type="spellStart"/>
      <w:r w:rsidR="005F7D61" w:rsidRPr="00562834">
        <w:rPr>
          <w:i/>
          <w:iCs/>
        </w:rPr>
        <w:t>Production</w:t>
      </w:r>
      <w:proofErr w:type="spellEnd"/>
      <w:r w:rsidR="005F7D61" w:rsidRPr="00562834">
        <w:rPr>
          <w:shd w:val="clear" w:color="auto" w:fill="FFFFFF"/>
        </w:rPr>
        <w:t>, 134721.</w:t>
      </w:r>
    </w:p>
    <w:p w14:paraId="0BCA2B53" w14:textId="40421D04" w:rsidR="00BF084A" w:rsidRPr="00562834" w:rsidRDefault="00BF084A" w:rsidP="00B97734">
      <w:pPr>
        <w:pStyle w:val="NormalWeb"/>
        <w:rPr>
          <w:color w:val="000000"/>
        </w:rPr>
      </w:pPr>
      <w:r w:rsidRPr="00562834">
        <w:rPr>
          <w:shd w:val="clear" w:color="auto" w:fill="FFFFFF"/>
        </w:rPr>
        <w:t>[14]</w:t>
      </w:r>
      <w:r w:rsidR="005F7D61" w:rsidRPr="00562834">
        <w:rPr>
          <w:shd w:val="clear" w:color="auto" w:fill="FFFFFF"/>
        </w:rPr>
        <w:t xml:space="preserve"> </w:t>
      </w:r>
      <w:proofErr w:type="spellStart"/>
      <w:r w:rsidR="005F7D61" w:rsidRPr="00562834">
        <w:rPr>
          <w:shd w:val="clear" w:color="auto" w:fill="FFFFFF"/>
        </w:rPr>
        <w:t>Shanaev</w:t>
      </w:r>
      <w:proofErr w:type="spellEnd"/>
      <w:r w:rsidR="005F7D61" w:rsidRPr="00562834">
        <w:rPr>
          <w:shd w:val="clear" w:color="auto" w:fill="FFFFFF"/>
        </w:rPr>
        <w:t xml:space="preserve">, S., &amp; </w:t>
      </w:r>
      <w:proofErr w:type="spellStart"/>
      <w:r w:rsidR="005F7D61" w:rsidRPr="00562834">
        <w:rPr>
          <w:shd w:val="clear" w:color="auto" w:fill="FFFFFF"/>
        </w:rPr>
        <w:t>Ghimire</w:t>
      </w:r>
      <w:proofErr w:type="spellEnd"/>
      <w:r w:rsidR="005F7D61" w:rsidRPr="00562834">
        <w:rPr>
          <w:shd w:val="clear" w:color="auto" w:fill="FFFFFF"/>
        </w:rPr>
        <w:t xml:space="preserve">, B. (2022). </w:t>
      </w:r>
      <w:proofErr w:type="spellStart"/>
      <w:r w:rsidR="005F7D61" w:rsidRPr="00562834">
        <w:rPr>
          <w:shd w:val="clear" w:color="auto" w:fill="FFFFFF"/>
        </w:rPr>
        <w:t>When</w:t>
      </w:r>
      <w:proofErr w:type="spellEnd"/>
      <w:r w:rsidR="005F7D61" w:rsidRPr="00562834">
        <w:rPr>
          <w:shd w:val="clear" w:color="auto" w:fill="FFFFFF"/>
        </w:rPr>
        <w:t xml:space="preserve"> ESG </w:t>
      </w:r>
      <w:proofErr w:type="spellStart"/>
      <w:r w:rsidR="005F7D61" w:rsidRPr="00562834">
        <w:rPr>
          <w:shd w:val="clear" w:color="auto" w:fill="FFFFFF"/>
        </w:rPr>
        <w:t>meets</w:t>
      </w:r>
      <w:proofErr w:type="spellEnd"/>
      <w:r w:rsidR="005F7D61" w:rsidRPr="00562834">
        <w:rPr>
          <w:shd w:val="clear" w:color="auto" w:fill="FFFFFF"/>
        </w:rPr>
        <w:t xml:space="preserve"> AAA: </w:t>
      </w:r>
      <w:proofErr w:type="spellStart"/>
      <w:r w:rsidR="005F7D61" w:rsidRPr="00562834">
        <w:rPr>
          <w:shd w:val="clear" w:color="auto" w:fill="FFFFFF"/>
        </w:rPr>
        <w:t>The</w:t>
      </w:r>
      <w:proofErr w:type="spellEnd"/>
      <w:r w:rsidR="005F7D61" w:rsidRPr="00562834">
        <w:rPr>
          <w:shd w:val="clear" w:color="auto" w:fill="FFFFFF"/>
        </w:rPr>
        <w:t xml:space="preserve"> </w:t>
      </w:r>
      <w:proofErr w:type="spellStart"/>
      <w:r w:rsidR="005F7D61" w:rsidRPr="00562834">
        <w:rPr>
          <w:shd w:val="clear" w:color="auto" w:fill="FFFFFF"/>
        </w:rPr>
        <w:t>effect</w:t>
      </w:r>
      <w:proofErr w:type="spellEnd"/>
      <w:r w:rsidR="005F7D61" w:rsidRPr="00562834">
        <w:rPr>
          <w:shd w:val="clear" w:color="auto" w:fill="FFFFFF"/>
        </w:rPr>
        <w:t xml:space="preserve"> of ESG </w:t>
      </w:r>
      <w:proofErr w:type="spellStart"/>
      <w:r w:rsidR="005F7D61" w:rsidRPr="00562834">
        <w:rPr>
          <w:shd w:val="clear" w:color="auto" w:fill="FFFFFF"/>
        </w:rPr>
        <w:t>rating</w:t>
      </w:r>
      <w:proofErr w:type="spellEnd"/>
      <w:r w:rsidR="005F7D61" w:rsidRPr="00562834">
        <w:rPr>
          <w:shd w:val="clear" w:color="auto" w:fill="FFFFFF"/>
        </w:rPr>
        <w:t xml:space="preserve"> </w:t>
      </w:r>
      <w:proofErr w:type="spellStart"/>
      <w:r w:rsidR="005F7D61" w:rsidRPr="00562834">
        <w:rPr>
          <w:shd w:val="clear" w:color="auto" w:fill="FFFFFF"/>
        </w:rPr>
        <w:t>changes</w:t>
      </w:r>
      <w:proofErr w:type="spellEnd"/>
      <w:r w:rsidR="005F7D61" w:rsidRPr="00562834">
        <w:rPr>
          <w:shd w:val="clear" w:color="auto" w:fill="FFFFFF"/>
        </w:rPr>
        <w:t xml:space="preserve"> on </w:t>
      </w:r>
      <w:proofErr w:type="spellStart"/>
      <w:r w:rsidR="005F7D61" w:rsidRPr="00562834">
        <w:rPr>
          <w:shd w:val="clear" w:color="auto" w:fill="FFFFFF"/>
        </w:rPr>
        <w:t>stock</w:t>
      </w:r>
      <w:proofErr w:type="spellEnd"/>
      <w:r w:rsidR="005F7D61" w:rsidRPr="00562834">
        <w:rPr>
          <w:shd w:val="clear" w:color="auto" w:fill="FFFFFF"/>
        </w:rPr>
        <w:t xml:space="preserve"> </w:t>
      </w:r>
      <w:proofErr w:type="spellStart"/>
      <w:r w:rsidR="005F7D61" w:rsidRPr="00562834">
        <w:rPr>
          <w:shd w:val="clear" w:color="auto" w:fill="FFFFFF"/>
        </w:rPr>
        <w:t>returns</w:t>
      </w:r>
      <w:proofErr w:type="spellEnd"/>
      <w:r w:rsidR="005F7D61" w:rsidRPr="00562834">
        <w:rPr>
          <w:shd w:val="clear" w:color="auto" w:fill="FFFFFF"/>
        </w:rPr>
        <w:t>.</w:t>
      </w:r>
      <w:r w:rsidR="005F7D61" w:rsidRPr="00562834">
        <w:rPr>
          <w:rStyle w:val="apple-converted-space"/>
          <w:color w:val="222222"/>
          <w:shd w:val="clear" w:color="auto" w:fill="FFFFFF"/>
        </w:rPr>
        <w:t> </w:t>
      </w:r>
      <w:r w:rsidR="005F7D61" w:rsidRPr="00562834">
        <w:rPr>
          <w:i/>
          <w:iCs/>
        </w:rPr>
        <w:t xml:space="preserve">Finance </w:t>
      </w:r>
      <w:proofErr w:type="spellStart"/>
      <w:r w:rsidR="005F7D61" w:rsidRPr="00562834">
        <w:rPr>
          <w:i/>
          <w:iCs/>
        </w:rPr>
        <w:t>Research</w:t>
      </w:r>
      <w:proofErr w:type="spellEnd"/>
      <w:r w:rsidR="005F7D61" w:rsidRPr="00562834">
        <w:rPr>
          <w:i/>
          <w:iCs/>
        </w:rPr>
        <w:t xml:space="preserve"> </w:t>
      </w:r>
      <w:proofErr w:type="spellStart"/>
      <w:r w:rsidR="005F7D61" w:rsidRPr="00562834">
        <w:rPr>
          <w:i/>
          <w:iCs/>
        </w:rPr>
        <w:t>Letters</w:t>
      </w:r>
      <w:proofErr w:type="spellEnd"/>
      <w:r w:rsidR="005F7D61" w:rsidRPr="00562834">
        <w:rPr>
          <w:shd w:val="clear" w:color="auto" w:fill="FFFFFF"/>
        </w:rPr>
        <w:t>,</w:t>
      </w:r>
      <w:r w:rsidR="005F7D61" w:rsidRPr="00562834">
        <w:rPr>
          <w:rStyle w:val="apple-converted-space"/>
          <w:color w:val="222222"/>
          <w:shd w:val="clear" w:color="auto" w:fill="FFFFFF"/>
        </w:rPr>
        <w:t> </w:t>
      </w:r>
      <w:r w:rsidR="005F7D61" w:rsidRPr="00562834">
        <w:rPr>
          <w:i/>
          <w:iCs/>
        </w:rPr>
        <w:t>46</w:t>
      </w:r>
      <w:r w:rsidR="005F7D61" w:rsidRPr="00562834">
        <w:rPr>
          <w:shd w:val="clear" w:color="auto" w:fill="FFFFFF"/>
        </w:rPr>
        <w:t>, 102302.</w:t>
      </w:r>
    </w:p>
    <w:p w14:paraId="32AD2B4F" w14:textId="43B86A12" w:rsidR="00AB5214" w:rsidRPr="00562834" w:rsidRDefault="0067449E" w:rsidP="00B97734">
      <w:pPr>
        <w:pStyle w:val="NormalWeb"/>
        <w:rPr>
          <w:shd w:val="clear" w:color="auto" w:fill="FFFFFF"/>
        </w:rPr>
      </w:pPr>
      <w:r w:rsidRPr="00562834">
        <w:rPr>
          <w:shd w:val="clear" w:color="auto" w:fill="FFFFFF"/>
        </w:rPr>
        <w:lastRenderedPageBreak/>
        <w:t xml:space="preserve">[15] </w:t>
      </w:r>
      <w:proofErr w:type="spellStart"/>
      <w:r w:rsidR="006F0BC2" w:rsidRPr="006F0BC2">
        <w:rPr>
          <w:shd w:val="clear" w:color="auto" w:fill="FFFFFF"/>
        </w:rPr>
        <w:t>Bruna</w:t>
      </w:r>
      <w:proofErr w:type="spellEnd"/>
      <w:r w:rsidR="006F0BC2" w:rsidRPr="006F0BC2">
        <w:rPr>
          <w:shd w:val="clear" w:color="auto" w:fill="FFFFFF"/>
        </w:rPr>
        <w:t xml:space="preserve">, M. G., </w:t>
      </w:r>
      <w:proofErr w:type="spellStart"/>
      <w:r w:rsidR="006F0BC2" w:rsidRPr="006F0BC2">
        <w:rPr>
          <w:shd w:val="clear" w:color="auto" w:fill="FFFFFF"/>
        </w:rPr>
        <w:t>Loprevite</w:t>
      </w:r>
      <w:proofErr w:type="spellEnd"/>
      <w:r w:rsidR="006F0BC2" w:rsidRPr="006F0BC2">
        <w:rPr>
          <w:shd w:val="clear" w:color="auto" w:fill="FFFFFF"/>
        </w:rPr>
        <w:t xml:space="preserve">, S., </w:t>
      </w:r>
      <w:proofErr w:type="spellStart"/>
      <w:r w:rsidR="006F0BC2" w:rsidRPr="006F0BC2">
        <w:rPr>
          <w:shd w:val="clear" w:color="auto" w:fill="FFFFFF"/>
        </w:rPr>
        <w:t>Raucci</w:t>
      </w:r>
      <w:proofErr w:type="spellEnd"/>
      <w:r w:rsidR="006F0BC2" w:rsidRPr="006F0BC2">
        <w:rPr>
          <w:shd w:val="clear" w:color="auto" w:fill="FFFFFF"/>
        </w:rPr>
        <w:t xml:space="preserve">, D., </w:t>
      </w:r>
      <w:proofErr w:type="spellStart"/>
      <w:r w:rsidR="006F0BC2" w:rsidRPr="006F0BC2">
        <w:rPr>
          <w:shd w:val="clear" w:color="auto" w:fill="FFFFFF"/>
        </w:rPr>
        <w:t>Ricca</w:t>
      </w:r>
      <w:proofErr w:type="spellEnd"/>
      <w:r w:rsidR="006F0BC2" w:rsidRPr="006F0BC2">
        <w:rPr>
          <w:shd w:val="clear" w:color="auto" w:fill="FFFFFF"/>
        </w:rPr>
        <w:t xml:space="preserve">, B., &amp; </w:t>
      </w:r>
      <w:proofErr w:type="spellStart"/>
      <w:r w:rsidR="006F0BC2" w:rsidRPr="006F0BC2">
        <w:rPr>
          <w:shd w:val="clear" w:color="auto" w:fill="FFFFFF"/>
        </w:rPr>
        <w:t>Rupo</w:t>
      </w:r>
      <w:proofErr w:type="spellEnd"/>
      <w:r w:rsidR="006F0BC2" w:rsidRPr="006F0BC2">
        <w:rPr>
          <w:shd w:val="clear" w:color="auto" w:fill="FFFFFF"/>
        </w:rPr>
        <w:t xml:space="preserve">, D. (2022). </w:t>
      </w:r>
      <w:proofErr w:type="spellStart"/>
      <w:r w:rsidR="006F0BC2" w:rsidRPr="006F0BC2">
        <w:rPr>
          <w:shd w:val="clear" w:color="auto" w:fill="FFFFFF"/>
        </w:rPr>
        <w:t>Investigating</w:t>
      </w:r>
      <w:proofErr w:type="spellEnd"/>
      <w:r w:rsidR="006F0BC2" w:rsidRPr="006F0BC2">
        <w:rPr>
          <w:shd w:val="clear" w:color="auto" w:fill="FFFFFF"/>
        </w:rPr>
        <w:t xml:space="preserve"> </w:t>
      </w:r>
      <w:proofErr w:type="spellStart"/>
      <w:r w:rsidR="006F0BC2" w:rsidRPr="006F0BC2">
        <w:rPr>
          <w:shd w:val="clear" w:color="auto" w:fill="FFFFFF"/>
        </w:rPr>
        <w:t>the</w:t>
      </w:r>
      <w:proofErr w:type="spellEnd"/>
      <w:r w:rsidR="006F0BC2" w:rsidRPr="006F0BC2">
        <w:rPr>
          <w:shd w:val="clear" w:color="auto" w:fill="FFFFFF"/>
        </w:rPr>
        <w:t xml:space="preserve"> </w:t>
      </w:r>
      <w:proofErr w:type="spellStart"/>
      <w:r w:rsidR="006F0BC2" w:rsidRPr="006F0BC2">
        <w:rPr>
          <w:shd w:val="clear" w:color="auto" w:fill="FFFFFF"/>
        </w:rPr>
        <w:t>marginal</w:t>
      </w:r>
      <w:proofErr w:type="spellEnd"/>
      <w:r w:rsidR="006F0BC2" w:rsidRPr="006F0BC2">
        <w:rPr>
          <w:shd w:val="clear" w:color="auto" w:fill="FFFFFF"/>
        </w:rPr>
        <w:t xml:space="preserve"> </w:t>
      </w:r>
      <w:proofErr w:type="spellStart"/>
      <w:r w:rsidR="006F0BC2" w:rsidRPr="006F0BC2">
        <w:rPr>
          <w:shd w:val="clear" w:color="auto" w:fill="FFFFFF"/>
        </w:rPr>
        <w:t>impact</w:t>
      </w:r>
      <w:proofErr w:type="spellEnd"/>
      <w:r w:rsidR="006F0BC2" w:rsidRPr="006F0BC2">
        <w:rPr>
          <w:shd w:val="clear" w:color="auto" w:fill="FFFFFF"/>
        </w:rPr>
        <w:t xml:space="preserve"> of ESG </w:t>
      </w:r>
      <w:proofErr w:type="spellStart"/>
      <w:r w:rsidR="006F0BC2" w:rsidRPr="006F0BC2">
        <w:rPr>
          <w:shd w:val="clear" w:color="auto" w:fill="FFFFFF"/>
        </w:rPr>
        <w:t>results</w:t>
      </w:r>
      <w:proofErr w:type="spellEnd"/>
      <w:r w:rsidR="006F0BC2" w:rsidRPr="006F0BC2">
        <w:rPr>
          <w:shd w:val="clear" w:color="auto" w:fill="FFFFFF"/>
        </w:rPr>
        <w:t xml:space="preserve"> on </w:t>
      </w:r>
      <w:proofErr w:type="spellStart"/>
      <w:r w:rsidR="006F0BC2" w:rsidRPr="006F0BC2">
        <w:rPr>
          <w:shd w:val="clear" w:color="auto" w:fill="FFFFFF"/>
        </w:rPr>
        <w:t>corporate</w:t>
      </w:r>
      <w:proofErr w:type="spellEnd"/>
      <w:r w:rsidR="006F0BC2" w:rsidRPr="006F0BC2">
        <w:rPr>
          <w:shd w:val="clear" w:color="auto" w:fill="FFFFFF"/>
        </w:rPr>
        <w:t xml:space="preserve"> </w:t>
      </w:r>
      <w:proofErr w:type="spellStart"/>
      <w:r w:rsidR="006F0BC2" w:rsidRPr="006F0BC2">
        <w:rPr>
          <w:shd w:val="clear" w:color="auto" w:fill="FFFFFF"/>
        </w:rPr>
        <w:t>financial</w:t>
      </w:r>
      <w:proofErr w:type="spellEnd"/>
      <w:r w:rsidR="006F0BC2" w:rsidRPr="006F0BC2">
        <w:rPr>
          <w:shd w:val="clear" w:color="auto" w:fill="FFFFFF"/>
        </w:rPr>
        <w:t xml:space="preserve"> </w:t>
      </w:r>
      <w:proofErr w:type="spellStart"/>
      <w:r w:rsidR="006F0BC2" w:rsidRPr="006F0BC2">
        <w:rPr>
          <w:shd w:val="clear" w:color="auto" w:fill="FFFFFF"/>
        </w:rPr>
        <w:t>performance</w:t>
      </w:r>
      <w:proofErr w:type="spellEnd"/>
      <w:r w:rsidR="006F0BC2" w:rsidRPr="006F0BC2">
        <w:rPr>
          <w:shd w:val="clear" w:color="auto" w:fill="FFFFFF"/>
        </w:rPr>
        <w:t>.</w:t>
      </w:r>
      <w:r w:rsidR="006F0BC2" w:rsidRPr="006F0BC2">
        <w:rPr>
          <w:rStyle w:val="apple-converted-space"/>
          <w:color w:val="222222"/>
          <w:shd w:val="clear" w:color="auto" w:fill="FFFFFF"/>
        </w:rPr>
        <w:t> </w:t>
      </w:r>
      <w:r w:rsidR="006F0BC2" w:rsidRPr="006F0BC2">
        <w:rPr>
          <w:i/>
          <w:iCs/>
        </w:rPr>
        <w:t xml:space="preserve">Finance </w:t>
      </w:r>
      <w:proofErr w:type="spellStart"/>
      <w:r w:rsidR="006F0BC2" w:rsidRPr="006F0BC2">
        <w:rPr>
          <w:i/>
          <w:iCs/>
        </w:rPr>
        <w:t>Research</w:t>
      </w:r>
      <w:proofErr w:type="spellEnd"/>
      <w:r w:rsidR="006F0BC2" w:rsidRPr="006F0BC2">
        <w:rPr>
          <w:i/>
          <w:iCs/>
        </w:rPr>
        <w:t xml:space="preserve"> </w:t>
      </w:r>
      <w:proofErr w:type="spellStart"/>
      <w:r w:rsidR="006F0BC2" w:rsidRPr="006F0BC2">
        <w:rPr>
          <w:i/>
          <w:iCs/>
        </w:rPr>
        <w:t>Letters</w:t>
      </w:r>
      <w:proofErr w:type="spellEnd"/>
      <w:r w:rsidR="006F0BC2" w:rsidRPr="006F0BC2">
        <w:rPr>
          <w:shd w:val="clear" w:color="auto" w:fill="FFFFFF"/>
        </w:rPr>
        <w:t>,</w:t>
      </w:r>
      <w:r w:rsidR="006F0BC2" w:rsidRPr="006F0BC2">
        <w:rPr>
          <w:rStyle w:val="apple-converted-space"/>
          <w:color w:val="222222"/>
          <w:shd w:val="clear" w:color="auto" w:fill="FFFFFF"/>
        </w:rPr>
        <w:t> </w:t>
      </w:r>
      <w:r w:rsidR="006F0BC2" w:rsidRPr="006F0BC2">
        <w:rPr>
          <w:i/>
          <w:iCs/>
        </w:rPr>
        <w:t>47</w:t>
      </w:r>
      <w:r w:rsidR="006F0BC2" w:rsidRPr="006F0BC2">
        <w:rPr>
          <w:shd w:val="clear" w:color="auto" w:fill="FFFFFF"/>
        </w:rPr>
        <w:t>, 102828.</w:t>
      </w:r>
    </w:p>
    <w:p w14:paraId="5BC6C1D1" w14:textId="514BDCB5" w:rsidR="00CC2E66" w:rsidRPr="00562834" w:rsidRDefault="00CC2E66" w:rsidP="00B97734">
      <w:pPr>
        <w:pStyle w:val="NormalWeb"/>
        <w:rPr>
          <w:color w:val="000000"/>
        </w:rPr>
      </w:pPr>
      <w:r w:rsidRPr="00562834">
        <w:rPr>
          <w:shd w:val="clear" w:color="auto" w:fill="FFFFFF"/>
        </w:rPr>
        <w:t>[1</w:t>
      </w:r>
      <w:r w:rsidR="00AB5214" w:rsidRPr="00562834">
        <w:rPr>
          <w:shd w:val="clear" w:color="auto" w:fill="FFFFFF"/>
        </w:rPr>
        <w:t>6</w:t>
      </w:r>
      <w:r w:rsidRPr="00562834">
        <w:rPr>
          <w:shd w:val="clear" w:color="auto" w:fill="FFFFFF"/>
        </w:rPr>
        <w:t>]</w:t>
      </w:r>
      <w:r w:rsidR="005F7D61" w:rsidRPr="00562834">
        <w:rPr>
          <w:shd w:val="clear" w:color="auto" w:fill="FFFFFF"/>
        </w:rPr>
        <w:t xml:space="preserve"> </w:t>
      </w:r>
      <w:proofErr w:type="spellStart"/>
      <w:r w:rsidR="005F7D61" w:rsidRPr="00562834">
        <w:rPr>
          <w:shd w:val="clear" w:color="auto" w:fill="FFFFFF"/>
        </w:rPr>
        <w:t>Broadstock</w:t>
      </w:r>
      <w:proofErr w:type="spellEnd"/>
      <w:r w:rsidR="005F7D61" w:rsidRPr="00562834">
        <w:rPr>
          <w:shd w:val="clear" w:color="auto" w:fill="FFFFFF"/>
        </w:rPr>
        <w:t xml:space="preserve">, D. C., </w:t>
      </w:r>
      <w:proofErr w:type="spellStart"/>
      <w:r w:rsidR="005F7D61" w:rsidRPr="00562834">
        <w:rPr>
          <w:shd w:val="clear" w:color="auto" w:fill="FFFFFF"/>
        </w:rPr>
        <w:t>Chan</w:t>
      </w:r>
      <w:proofErr w:type="spellEnd"/>
      <w:r w:rsidR="005F7D61" w:rsidRPr="00562834">
        <w:rPr>
          <w:shd w:val="clear" w:color="auto" w:fill="FFFFFF"/>
        </w:rPr>
        <w:t xml:space="preserve">, K., </w:t>
      </w:r>
      <w:proofErr w:type="spellStart"/>
      <w:r w:rsidR="005F7D61" w:rsidRPr="00562834">
        <w:rPr>
          <w:shd w:val="clear" w:color="auto" w:fill="FFFFFF"/>
        </w:rPr>
        <w:t>Cheng</w:t>
      </w:r>
      <w:proofErr w:type="spellEnd"/>
      <w:r w:rsidR="005F7D61" w:rsidRPr="00562834">
        <w:rPr>
          <w:shd w:val="clear" w:color="auto" w:fill="FFFFFF"/>
        </w:rPr>
        <w:t xml:space="preserve">, L. T., &amp; </w:t>
      </w:r>
      <w:proofErr w:type="spellStart"/>
      <w:r w:rsidR="005F7D61" w:rsidRPr="00562834">
        <w:rPr>
          <w:shd w:val="clear" w:color="auto" w:fill="FFFFFF"/>
        </w:rPr>
        <w:t>Wang</w:t>
      </w:r>
      <w:proofErr w:type="spellEnd"/>
      <w:r w:rsidR="005F7D61" w:rsidRPr="00562834">
        <w:rPr>
          <w:shd w:val="clear" w:color="auto" w:fill="FFFFFF"/>
        </w:rPr>
        <w:t xml:space="preserve">, X. (2021). </w:t>
      </w:r>
      <w:proofErr w:type="spellStart"/>
      <w:r w:rsidR="005F7D61" w:rsidRPr="00562834">
        <w:rPr>
          <w:shd w:val="clear" w:color="auto" w:fill="FFFFFF"/>
        </w:rPr>
        <w:t>The</w:t>
      </w:r>
      <w:proofErr w:type="spellEnd"/>
      <w:r w:rsidR="005F7D61" w:rsidRPr="00562834">
        <w:rPr>
          <w:shd w:val="clear" w:color="auto" w:fill="FFFFFF"/>
        </w:rPr>
        <w:t xml:space="preserve"> role of ESG </w:t>
      </w:r>
      <w:proofErr w:type="spellStart"/>
      <w:r w:rsidR="005F7D61" w:rsidRPr="00562834">
        <w:rPr>
          <w:shd w:val="clear" w:color="auto" w:fill="FFFFFF"/>
        </w:rPr>
        <w:t>performance</w:t>
      </w:r>
      <w:proofErr w:type="spellEnd"/>
      <w:r w:rsidR="005F7D61" w:rsidRPr="00562834">
        <w:rPr>
          <w:shd w:val="clear" w:color="auto" w:fill="FFFFFF"/>
        </w:rPr>
        <w:t xml:space="preserve"> </w:t>
      </w:r>
      <w:proofErr w:type="spellStart"/>
      <w:r w:rsidR="005F7D61" w:rsidRPr="00562834">
        <w:rPr>
          <w:shd w:val="clear" w:color="auto" w:fill="FFFFFF"/>
        </w:rPr>
        <w:t>during</w:t>
      </w:r>
      <w:proofErr w:type="spellEnd"/>
      <w:r w:rsidR="005F7D61" w:rsidRPr="00562834">
        <w:rPr>
          <w:shd w:val="clear" w:color="auto" w:fill="FFFFFF"/>
        </w:rPr>
        <w:t xml:space="preserve"> </w:t>
      </w:r>
      <w:proofErr w:type="spellStart"/>
      <w:r w:rsidR="005F7D61" w:rsidRPr="00562834">
        <w:rPr>
          <w:shd w:val="clear" w:color="auto" w:fill="FFFFFF"/>
        </w:rPr>
        <w:t>times</w:t>
      </w:r>
      <w:proofErr w:type="spellEnd"/>
      <w:r w:rsidR="005F7D61" w:rsidRPr="00562834">
        <w:rPr>
          <w:shd w:val="clear" w:color="auto" w:fill="FFFFFF"/>
        </w:rPr>
        <w:t xml:space="preserve"> of </w:t>
      </w:r>
      <w:proofErr w:type="spellStart"/>
      <w:r w:rsidR="005F7D61" w:rsidRPr="00562834">
        <w:rPr>
          <w:shd w:val="clear" w:color="auto" w:fill="FFFFFF"/>
        </w:rPr>
        <w:t>financial</w:t>
      </w:r>
      <w:proofErr w:type="spellEnd"/>
      <w:r w:rsidR="005F7D61" w:rsidRPr="00562834">
        <w:rPr>
          <w:shd w:val="clear" w:color="auto" w:fill="FFFFFF"/>
        </w:rPr>
        <w:t xml:space="preserve"> </w:t>
      </w:r>
      <w:proofErr w:type="spellStart"/>
      <w:r w:rsidR="005F7D61" w:rsidRPr="00562834">
        <w:rPr>
          <w:shd w:val="clear" w:color="auto" w:fill="FFFFFF"/>
        </w:rPr>
        <w:t>crisis</w:t>
      </w:r>
      <w:proofErr w:type="spellEnd"/>
      <w:r w:rsidR="005F7D61" w:rsidRPr="00562834">
        <w:rPr>
          <w:shd w:val="clear" w:color="auto" w:fill="FFFFFF"/>
        </w:rPr>
        <w:t xml:space="preserve">: </w:t>
      </w:r>
      <w:proofErr w:type="spellStart"/>
      <w:r w:rsidR="005F7D61" w:rsidRPr="00562834">
        <w:rPr>
          <w:shd w:val="clear" w:color="auto" w:fill="FFFFFF"/>
        </w:rPr>
        <w:t>Evidence</w:t>
      </w:r>
      <w:proofErr w:type="spellEnd"/>
      <w:r w:rsidR="005F7D61" w:rsidRPr="00562834">
        <w:rPr>
          <w:shd w:val="clear" w:color="auto" w:fill="FFFFFF"/>
        </w:rPr>
        <w:t xml:space="preserve"> </w:t>
      </w:r>
      <w:proofErr w:type="spellStart"/>
      <w:r w:rsidR="005F7D61" w:rsidRPr="00562834">
        <w:rPr>
          <w:shd w:val="clear" w:color="auto" w:fill="FFFFFF"/>
        </w:rPr>
        <w:t>from</w:t>
      </w:r>
      <w:proofErr w:type="spellEnd"/>
      <w:r w:rsidR="005F7D61" w:rsidRPr="00562834">
        <w:rPr>
          <w:shd w:val="clear" w:color="auto" w:fill="FFFFFF"/>
        </w:rPr>
        <w:t xml:space="preserve"> COVID-19 in </w:t>
      </w:r>
      <w:proofErr w:type="spellStart"/>
      <w:r w:rsidR="005F7D61" w:rsidRPr="00562834">
        <w:rPr>
          <w:shd w:val="clear" w:color="auto" w:fill="FFFFFF"/>
        </w:rPr>
        <w:t>China</w:t>
      </w:r>
      <w:proofErr w:type="spellEnd"/>
      <w:r w:rsidR="005F7D61" w:rsidRPr="00562834">
        <w:rPr>
          <w:shd w:val="clear" w:color="auto" w:fill="FFFFFF"/>
        </w:rPr>
        <w:t>.</w:t>
      </w:r>
      <w:r w:rsidR="005F7D61" w:rsidRPr="00562834">
        <w:rPr>
          <w:rStyle w:val="apple-converted-space"/>
          <w:color w:val="222222"/>
          <w:shd w:val="clear" w:color="auto" w:fill="FFFFFF"/>
        </w:rPr>
        <w:t> </w:t>
      </w:r>
      <w:r w:rsidR="005F7D61" w:rsidRPr="00562834">
        <w:rPr>
          <w:i/>
          <w:iCs/>
        </w:rPr>
        <w:t xml:space="preserve">Finance </w:t>
      </w:r>
      <w:proofErr w:type="spellStart"/>
      <w:r w:rsidR="005F7D61" w:rsidRPr="00562834">
        <w:rPr>
          <w:i/>
          <w:iCs/>
        </w:rPr>
        <w:t>research</w:t>
      </w:r>
      <w:proofErr w:type="spellEnd"/>
      <w:r w:rsidR="005F7D61" w:rsidRPr="00562834">
        <w:rPr>
          <w:i/>
          <w:iCs/>
        </w:rPr>
        <w:t xml:space="preserve"> </w:t>
      </w:r>
      <w:proofErr w:type="spellStart"/>
      <w:r w:rsidR="005F7D61" w:rsidRPr="00562834">
        <w:rPr>
          <w:i/>
          <w:iCs/>
        </w:rPr>
        <w:t>letters</w:t>
      </w:r>
      <w:proofErr w:type="spellEnd"/>
      <w:r w:rsidR="005F7D61" w:rsidRPr="00562834">
        <w:rPr>
          <w:shd w:val="clear" w:color="auto" w:fill="FFFFFF"/>
        </w:rPr>
        <w:t>,</w:t>
      </w:r>
      <w:r w:rsidR="005F7D61" w:rsidRPr="00562834">
        <w:rPr>
          <w:rStyle w:val="apple-converted-space"/>
          <w:color w:val="222222"/>
          <w:shd w:val="clear" w:color="auto" w:fill="FFFFFF"/>
        </w:rPr>
        <w:t> </w:t>
      </w:r>
      <w:r w:rsidR="005F7D61" w:rsidRPr="00562834">
        <w:rPr>
          <w:i/>
          <w:iCs/>
        </w:rPr>
        <w:t>38</w:t>
      </w:r>
      <w:r w:rsidR="005F7D61" w:rsidRPr="00562834">
        <w:rPr>
          <w:shd w:val="clear" w:color="auto" w:fill="FFFFFF"/>
        </w:rPr>
        <w:t>, 101716.</w:t>
      </w:r>
    </w:p>
    <w:p w14:paraId="730645B1" w14:textId="606A1799" w:rsidR="00CC2E66" w:rsidRPr="00562834" w:rsidRDefault="00CC2E66" w:rsidP="00B97734">
      <w:pPr>
        <w:pStyle w:val="NormalWeb"/>
        <w:rPr>
          <w:color w:val="000000"/>
        </w:rPr>
      </w:pPr>
      <w:r w:rsidRPr="00562834">
        <w:rPr>
          <w:shd w:val="clear" w:color="auto" w:fill="FFFFFF"/>
        </w:rPr>
        <w:t>[1</w:t>
      </w:r>
      <w:r w:rsidR="00AB5214" w:rsidRPr="00562834">
        <w:rPr>
          <w:shd w:val="clear" w:color="auto" w:fill="FFFFFF"/>
        </w:rPr>
        <w:t>7</w:t>
      </w:r>
      <w:r w:rsidRPr="00562834">
        <w:rPr>
          <w:shd w:val="clear" w:color="auto" w:fill="FFFFFF"/>
        </w:rPr>
        <w:t>]</w:t>
      </w:r>
      <w:r w:rsidR="005F7D61" w:rsidRPr="00562834">
        <w:rPr>
          <w:shd w:val="clear" w:color="auto" w:fill="FFFFFF"/>
        </w:rPr>
        <w:t xml:space="preserve"> </w:t>
      </w:r>
      <w:proofErr w:type="spellStart"/>
      <w:r w:rsidR="005F7D61" w:rsidRPr="00562834">
        <w:rPr>
          <w:shd w:val="clear" w:color="auto" w:fill="FFFFFF"/>
        </w:rPr>
        <w:t>Gao</w:t>
      </w:r>
      <w:proofErr w:type="spellEnd"/>
      <w:r w:rsidR="005F7D61" w:rsidRPr="00562834">
        <w:rPr>
          <w:shd w:val="clear" w:color="auto" w:fill="FFFFFF"/>
        </w:rPr>
        <w:t xml:space="preserve">, J., </w:t>
      </w:r>
      <w:proofErr w:type="spellStart"/>
      <w:r w:rsidR="005F7D61" w:rsidRPr="00562834">
        <w:rPr>
          <w:shd w:val="clear" w:color="auto" w:fill="FFFFFF"/>
        </w:rPr>
        <w:t>Chu</w:t>
      </w:r>
      <w:proofErr w:type="spellEnd"/>
      <w:r w:rsidR="005F7D61" w:rsidRPr="00562834">
        <w:rPr>
          <w:shd w:val="clear" w:color="auto" w:fill="FFFFFF"/>
        </w:rPr>
        <w:t xml:space="preserve">, D., </w:t>
      </w:r>
      <w:proofErr w:type="spellStart"/>
      <w:r w:rsidR="005F7D61" w:rsidRPr="00562834">
        <w:rPr>
          <w:shd w:val="clear" w:color="auto" w:fill="FFFFFF"/>
        </w:rPr>
        <w:t>Zheng</w:t>
      </w:r>
      <w:proofErr w:type="spellEnd"/>
      <w:r w:rsidR="005F7D61" w:rsidRPr="00562834">
        <w:rPr>
          <w:shd w:val="clear" w:color="auto" w:fill="FFFFFF"/>
        </w:rPr>
        <w:t xml:space="preserve">, J., &amp; Ye, T. (2022). </w:t>
      </w:r>
      <w:proofErr w:type="spellStart"/>
      <w:r w:rsidR="005F7D61" w:rsidRPr="00562834">
        <w:rPr>
          <w:shd w:val="clear" w:color="auto" w:fill="FFFFFF"/>
        </w:rPr>
        <w:t>Environmental</w:t>
      </w:r>
      <w:proofErr w:type="spellEnd"/>
      <w:r w:rsidR="005F7D61" w:rsidRPr="00562834">
        <w:rPr>
          <w:shd w:val="clear" w:color="auto" w:fill="FFFFFF"/>
        </w:rPr>
        <w:t xml:space="preserve">, </w:t>
      </w:r>
      <w:proofErr w:type="spellStart"/>
      <w:r w:rsidR="005F7D61" w:rsidRPr="00562834">
        <w:rPr>
          <w:shd w:val="clear" w:color="auto" w:fill="FFFFFF"/>
        </w:rPr>
        <w:t>social</w:t>
      </w:r>
      <w:proofErr w:type="spellEnd"/>
      <w:r w:rsidR="005F7D61" w:rsidRPr="00562834">
        <w:rPr>
          <w:shd w:val="clear" w:color="auto" w:fill="FFFFFF"/>
        </w:rPr>
        <w:t xml:space="preserve"> </w:t>
      </w:r>
      <w:proofErr w:type="spellStart"/>
      <w:r w:rsidR="005F7D61" w:rsidRPr="00562834">
        <w:rPr>
          <w:shd w:val="clear" w:color="auto" w:fill="FFFFFF"/>
        </w:rPr>
        <w:t>and</w:t>
      </w:r>
      <w:proofErr w:type="spellEnd"/>
      <w:r w:rsidR="005F7D61" w:rsidRPr="00562834">
        <w:rPr>
          <w:shd w:val="clear" w:color="auto" w:fill="FFFFFF"/>
        </w:rPr>
        <w:t xml:space="preserve"> </w:t>
      </w:r>
      <w:proofErr w:type="spellStart"/>
      <w:r w:rsidR="005F7D61" w:rsidRPr="00562834">
        <w:rPr>
          <w:shd w:val="clear" w:color="auto" w:fill="FFFFFF"/>
        </w:rPr>
        <w:t>governance</w:t>
      </w:r>
      <w:proofErr w:type="spellEnd"/>
      <w:r w:rsidR="005F7D61" w:rsidRPr="00562834">
        <w:rPr>
          <w:shd w:val="clear" w:color="auto" w:fill="FFFFFF"/>
        </w:rPr>
        <w:t xml:space="preserve"> </w:t>
      </w:r>
      <w:proofErr w:type="spellStart"/>
      <w:r w:rsidR="005F7D61" w:rsidRPr="00562834">
        <w:rPr>
          <w:shd w:val="clear" w:color="auto" w:fill="FFFFFF"/>
        </w:rPr>
        <w:t>performance</w:t>
      </w:r>
      <w:proofErr w:type="spellEnd"/>
      <w:r w:rsidR="005F7D61" w:rsidRPr="00562834">
        <w:rPr>
          <w:shd w:val="clear" w:color="auto" w:fill="FFFFFF"/>
        </w:rPr>
        <w:t xml:space="preserve">: Can it be a </w:t>
      </w:r>
      <w:proofErr w:type="spellStart"/>
      <w:r w:rsidR="005F7D61" w:rsidRPr="00562834">
        <w:rPr>
          <w:shd w:val="clear" w:color="auto" w:fill="FFFFFF"/>
        </w:rPr>
        <w:t>stock</w:t>
      </w:r>
      <w:proofErr w:type="spellEnd"/>
      <w:r w:rsidR="005F7D61" w:rsidRPr="00562834">
        <w:rPr>
          <w:shd w:val="clear" w:color="auto" w:fill="FFFFFF"/>
        </w:rPr>
        <w:t xml:space="preserve"> </w:t>
      </w:r>
      <w:proofErr w:type="spellStart"/>
      <w:r w:rsidR="005F7D61" w:rsidRPr="00562834">
        <w:rPr>
          <w:shd w:val="clear" w:color="auto" w:fill="FFFFFF"/>
        </w:rPr>
        <w:t>price</w:t>
      </w:r>
      <w:proofErr w:type="spellEnd"/>
      <w:r w:rsidR="005F7D61" w:rsidRPr="00562834">
        <w:rPr>
          <w:shd w:val="clear" w:color="auto" w:fill="FFFFFF"/>
        </w:rPr>
        <w:t xml:space="preserve"> </w:t>
      </w:r>
      <w:proofErr w:type="spellStart"/>
      <w:r w:rsidR="005F7D61" w:rsidRPr="00562834">
        <w:rPr>
          <w:shd w:val="clear" w:color="auto" w:fill="FFFFFF"/>
        </w:rPr>
        <w:t>stabilizer</w:t>
      </w:r>
      <w:proofErr w:type="spellEnd"/>
      <w:r w:rsidR="005F7D61" w:rsidRPr="00562834">
        <w:rPr>
          <w:shd w:val="clear" w:color="auto" w:fill="FFFFFF"/>
        </w:rPr>
        <w:t>?.</w:t>
      </w:r>
      <w:r w:rsidR="005F7D61" w:rsidRPr="00562834">
        <w:rPr>
          <w:rStyle w:val="apple-converted-space"/>
          <w:color w:val="222222"/>
          <w:shd w:val="clear" w:color="auto" w:fill="FFFFFF"/>
        </w:rPr>
        <w:t> </w:t>
      </w:r>
      <w:proofErr w:type="spellStart"/>
      <w:r w:rsidR="005F7D61" w:rsidRPr="00562834">
        <w:rPr>
          <w:i/>
          <w:iCs/>
        </w:rPr>
        <w:t>Journal</w:t>
      </w:r>
      <w:proofErr w:type="spellEnd"/>
      <w:r w:rsidR="005F7D61" w:rsidRPr="00562834">
        <w:rPr>
          <w:i/>
          <w:iCs/>
        </w:rPr>
        <w:t xml:space="preserve"> of </w:t>
      </w:r>
      <w:proofErr w:type="spellStart"/>
      <w:r w:rsidR="005F7D61" w:rsidRPr="00562834">
        <w:rPr>
          <w:i/>
          <w:iCs/>
        </w:rPr>
        <w:t>Cleaner</w:t>
      </w:r>
      <w:proofErr w:type="spellEnd"/>
      <w:r w:rsidR="005F7D61" w:rsidRPr="00562834">
        <w:rPr>
          <w:i/>
          <w:iCs/>
        </w:rPr>
        <w:t xml:space="preserve"> </w:t>
      </w:r>
      <w:proofErr w:type="spellStart"/>
      <w:r w:rsidR="005F7D61" w:rsidRPr="00562834">
        <w:rPr>
          <w:i/>
          <w:iCs/>
        </w:rPr>
        <w:t>Production</w:t>
      </w:r>
      <w:proofErr w:type="spellEnd"/>
      <w:r w:rsidR="005F7D61" w:rsidRPr="00562834">
        <w:rPr>
          <w:shd w:val="clear" w:color="auto" w:fill="FFFFFF"/>
        </w:rPr>
        <w:t>, 134705.</w:t>
      </w:r>
    </w:p>
    <w:p w14:paraId="52AC7E2D" w14:textId="78154213" w:rsidR="00CC2E66" w:rsidRPr="00562834" w:rsidRDefault="00CC2E66" w:rsidP="00B97734">
      <w:pPr>
        <w:pStyle w:val="NormalWeb"/>
        <w:rPr>
          <w:color w:val="000000"/>
        </w:rPr>
      </w:pPr>
      <w:r w:rsidRPr="00562834">
        <w:rPr>
          <w:shd w:val="clear" w:color="auto" w:fill="FFFFFF"/>
        </w:rPr>
        <w:t>[1</w:t>
      </w:r>
      <w:r w:rsidR="00AB5214" w:rsidRPr="00562834">
        <w:rPr>
          <w:shd w:val="clear" w:color="auto" w:fill="FFFFFF"/>
        </w:rPr>
        <w:t>8</w:t>
      </w:r>
      <w:r w:rsidRPr="00562834">
        <w:rPr>
          <w:shd w:val="clear" w:color="auto" w:fill="FFFFFF"/>
        </w:rPr>
        <w:t>]</w:t>
      </w:r>
      <w:r w:rsidR="005F7D61" w:rsidRPr="00562834">
        <w:rPr>
          <w:shd w:val="clear" w:color="auto" w:fill="FFFFFF"/>
        </w:rPr>
        <w:t xml:space="preserve"> </w:t>
      </w:r>
      <w:proofErr w:type="spellStart"/>
      <w:r w:rsidR="005F7D61" w:rsidRPr="00562834">
        <w:rPr>
          <w:shd w:val="clear" w:color="auto" w:fill="FFFFFF"/>
        </w:rPr>
        <w:t>Albuquerque</w:t>
      </w:r>
      <w:proofErr w:type="spellEnd"/>
      <w:r w:rsidR="005F7D61" w:rsidRPr="00562834">
        <w:rPr>
          <w:shd w:val="clear" w:color="auto" w:fill="FFFFFF"/>
        </w:rPr>
        <w:t xml:space="preserve">, R., </w:t>
      </w:r>
      <w:proofErr w:type="spellStart"/>
      <w:r w:rsidR="005F7D61" w:rsidRPr="00562834">
        <w:rPr>
          <w:shd w:val="clear" w:color="auto" w:fill="FFFFFF"/>
        </w:rPr>
        <w:t>Koskinen</w:t>
      </w:r>
      <w:proofErr w:type="spellEnd"/>
      <w:r w:rsidR="005F7D61" w:rsidRPr="00562834">
        <w:rPr>
          <w:shd w:val="clear" w:color="auto" w:fill="FFFFFF"/>
        </w:rPr>
        <w:t xml:space="preserve">, Y., </w:t>
      </w:r>
      <w:proofErr w:type="spellStart"/>
      <w:r w:rsidR="005F7D61" w:rsidRPr="00562834">
        <w:rPr>
          <w:shd w:val="clear" w:color="auto" w:fill="FFFFFF"/>
        </w:rPr>
        <w:t>Yang</w:t>
      </w:r>
      <w:proofErr w:type="spellEnd"/>
      <w:r w:rsidR="005F7D61" w:rsidRPr="00562834">
        <w:rPr>
          <w:shd w:val="clear" w:color="auto" w:fill="FFFFFF"/>
        </w:rPr>
        <w:t xml:space="preserve">, S., &amp; </w:t>
      </w:r>
      <w:proofErr w:type="spellStart"/>
      <w:r w:rsidR="005F7D61" w:rsidRPr="00562834">
        <w:rPr>
          <w:shd w:val="clear" w:color="auto" w:fill="FFFFFF"/>
        </w:rPr>
        <w:t>Zhang</w:t>
      </w:r>
      <w:proofErr w:type="spellEnd"/>
      <w:r w:rsidR="005F7D61" w:rsidRPr="00562834">
        <w:rPr>
          <w:shd w:val="clear" w:color="auto" w:fill="FFFFFF"/>
        </w:rPr>
        <w:t xml:space="preserve">, C. (2020). </w:t>
      </w:r>
      <w:proofErr w:type="spellStart"/>
      <w:r w:rsidR="005F7D61" w:rsidRPr="00562834">
        <w:rPr>
          <w:shd w:val="clear" w:color="auto" w:fill="FFFFFF"/>
        </w:rPr>
        <w:t>Resiliency</w:t>
      </w:r>
      <w:proofErr w:type="spellEnd"/>
      <w:r w:rsidR="005F7D61" w:rsidRPr="00562834">
        <w:rPr>
          <w:shd w:val="clear" w:color="auto" w:fill="FFFFFF"/>
        </w:rPr>
        <w:t xml:space="preserve"> of </w:t>
      </w:r>
      <w:proofErr w:type="spellStart"/>
      <w:r w:rsidR="005F7D61" w:rsidRPr="00562834">
        <w:rPr>
          <w:shd w:val="clear" w:color="auto" w:fill="FFFFFF"/>
        </w:rPr>
        <w:t>environmental</w:t>
      </w:r>
      <w:proofErr w:type="spellEnd"/>
      <w:r w:rsidR="005F7D61" w:rsidRPr="00562834">
        <w:rPr>
          <w:shd w:val="clear" w:color="auto" w:fill="FFFFFF"/>
        </w:rPr>
        <w:t xml:space="preserve"> </w:t>
      </w:r>
      <w:proofErr w:type="spellStart"/>
      <w:r w:rsidR="005F7D61" w:rsidRPr="00562834">
        <w:rPr>
          <w:shd w:val="clear" w:color="auto" w:fill="FFFFFF"/>
        </w:rPr>
        <w:t>and</w:t>
      </w:r>
      <w:proofErr w:type="spellEnd"/>
      <w:r w:rsidR="005F7D61" w:rsidRPr="00562834">
        <w:rPr>
          <w:shd w:val="clear" w:color="auto" w:fill="FFFFFF"/>
        </w:rPr>
        <w:t xml:space="preserve"> </w:t>
      </w:r>
      <w:proofErr w:type="spellStart"/>
      <w:r w:rsidR="005F7D61" w:rsidRPr="00562834">
        <w:rPr>
          <w:shd w:val="clear" w:color="auto" w:fill="FFFFFF"/>
        </w:rPr>
        <w:t>social</w:t>
      </w:r>
      <w:proofErr w:type="spellEnd"/>
      <w:r w:rsidR="005F7D61" w:rsidRPr="00562834">
        <w:rPr>
          <w:shd w:val="clear" w:color="auto" w:fill="FFFFFF"/>
        </w:rPr>
        <w:t xml:space="preserve"> </w:t>
      </w:r>
      <w:proofErr w:type="spellStart"/>
      <w:r w:rsidR="005F7D61" w:rsidRPr="00562834">
        <w:rPr>
          <w:shd w:val="clear" w:color="auto" w:fill="FFFFFF"/>
        </w:rPr>
        <w:t>stocks</w:t>
      </w:r>
      <w:proofErr w:type="spellEnd"/>
      <w:r w:rsidR="005F7D61" w:rsidRPr="00562834">
        <w:rPr>
          <w:shd w:val="clear" w:color="auto" w:fill="FFFFFF"/>
        </w:rPr>
        <w:t xml:space="preserve">: An </w:t>
      </w:r>
      <w:proofErr w:type="spellStart"/>
      <w:r w:rsidR="005F7D61" w:rsidRPr="00562834">
        <w:rPr>
          <w:shd w:val="clear" w:color="auto" w:fill="FFFFFF"/>
        </w:rPr>
        <w:t>analysis</w:t>
      </w:r>
      <w:proofErr w:type="spellEnd"/>
      <w:r w:rsidR="005F7D61" w:rsidRPr="00562834">
        <w:rPr>
          <w:shd w:val="clear" w:color="auto" w:fill="FFFFFF"/>
        </w:rPr>
        <w:t xml:space="preserve"> of </w:t>
      </w:r>
      <w:proofErr w:type="spellStart"/>
      <w:r w:rsidR="005F7D61" w:rsidRPr="00562834">
        <w:rPr>
          <w:shd w:val="clear" w:color="auto" w:fill="FFFFFF"/>
        </w:rPr>
        <w:t>the</w:t>
      </w:r>
      <w:proofErr w:type="spellEnd"/>
      <w:r w:rsidR="005F7D61" w:rsidRPr="00562834">
        <w:rPr>
          <w:shd w:val="clear" w:color="auto" w:fill="FFFFFF"/>
        </w:rPr>
        <w:t xml:space="preserve"> </w:t>
      </w:r>
      <w:proofErr w:type="spellStart"/>
      <w:r w:rsidR="005F7D61" w:rsidRPr="00562834">
        <w:rPr>
          <w:shd w:val="clear" w:color="auto" w:fill="FFFFFF"/>
        </w:rPr>
        <w:t>exogenous</w:t>
      </w:r>
      <w:proofErr w:type="spellEnd"/>
      <w:r w:rsidR="005F7D61" w:rsidRPr="00562834">
        <w:rPr>
          <w:shd w:val="clear" w:color="auto" w:fill="FFFFFF"/>
        </w:rPr>
        <w:t xml:space="preserve"> COVID-19 market </w:t>
      </w:r>
      <w:proofErr w:type="spellStart"/>
      <w:r w:rsidR="005F7D61" w:rsidRPr="00562834">
        <w:rPr>
          <w:shd w:val="clear" w:color="auto" w:fill="FFFFFF"/>
        </w:rPr>
        <w:t>crash</w:t>
      </w:r>
      <w:proofErr w:type="spellEnd"/>
      <w:r w:rsidR="005F7D61" w:rsidRPr="00562834">
        <w:rPr>
          <w:shd w:val="clear" w:color="auto" w:fill="FFFFFF"/>
        </w:rPr>
        <w:t>.</w:t>
      </w:r>
      <w:r w:rsidR="005F7D61" w:rsidRPr="00562834">
        <w:rPr>
          <w:rStyle w:val="apple-converted-space"/>
          <w:color w:val="222222"/>
          <w:shd w:val="clear" w:color="auto" w:fill="FFFFFF"/>
        </w:rPr>
        <w:t> </w:t>
      </w:r>
      <w:proofErr w:type="spellStart"/>
      <w:r w:rsidR="005F7D61" w:rsidRPr="00562834">
        <w:rPr>
          <w:i/>
          <w:iCs/>
        </w:rPr>
        <w:t>The</w:t>
      </w:r>
      <w:proofErr w:type="spellEnd"/>
      <w:r w:rsidR="005F7D61" w:rsidRPr="00562834">
        <w:rPr>
          <w:i/>
          <w:iCs/>
        </w:rPr>
        <w:t xml:space="preserve"> </w:t>
      </w:r>
      <w:proofErr w:type="spellStart"/>
      <w:r w:rsidR="005F7D61" w:rsidRPr="00562834">
        <w:rPr>
          <w:i/>
          <w:iCs/>
        </w:rPr>
        <w:t>Review</w:t>
      </w:r>
      <w:proofErr w:type="spellEnd"/>
      <w:r w:rsidR="005F7D61" w:rsidRPr="00562834">
        <w:rPr>
          <w:i/>
          <w:iCs/>
        </w:rPr>
        <w:t xml:space="preserve"> of </w:t>
      </w:r>
      <w:proofErr w:type="spellStart"/>
      <w:r w:rsidR="005F7D61" w:rsidRPr="00562834">
        <w:rPr>
          <w:i/>
          <w:iCs/>
        </w:rPr>
        <w:t>Corporate</w:t>
      </w:r>
      <w:proofErr w:type="spellEnd"/>
      <w:r w:rsidR="005F7D61" w:rsidRPr="00562834">
        <w:rPr>
          <w:i/>
          <w:iCs/>
        </w:rPr>
        <w:t xml:space="preserve"> Finance </w:t>
      </w:r>
      <w:proofErr w:type="spellStart"/>
      <w:r w:rsidR="005F7D61" w:rsidRPr="00562834">
        <w:rPr>
          <w:i/>
          <w:iCs/>
        </w:rPr>
        <w:t>Studies</w:t>
      </w:r>
      <w:proofErr w:type="spellEnd"/>
      <w:r w:rsidR="005F7D61" w:rsidRPr="00562834">
        <w:rPr>
          <w:shd w:val="clear" w:color="auto" w:fill="FFFFFF"/>
        </w:rPr>
        <w:t>,</w:t>
      </w:r>
      <w:r w:rsidR="005F7D61" w:rsidRPr="00562834">
        <w:rPr>
          <w:rStyle w:val="apple-converted-space"/>
          <w:color w:val="222222"/>
          <w:shd w:val="clear" w:color="auto" w:fill="FFFFFF"/>
        </w:rPr>
        <w:t> </w:t>
      </w:r>
      <w:r w:rsidR="005F7D61" w:rsidRPr="00562834">
        <w:rPr>
          <w:i/>
          <w:iCs/>
        </w:rPr>
        <w:t>9</w:t>
      </w:r>
      <w:r w:rsidR="005F7D61" w:rsidRPr="00562834">
        <w:rPr>
          <w:shd w:val="clear" w:color="auto" w:fill="FFFFFF"/>
        </w:rPr>
        <w:t>(3), 593-621.</w:t>
      </w:r>
    </w:p>
    <w:p w14:paraId="207BCEFD" w14:textId="4142DA98" w:rsidR="00CC2E66" w:rsidRPr="00562834" w:rsidRDefault="00CC2E66" w:rsidP="00B97734">
      <w:pPr>
        <w:pStyle w:val="NormalWeb"/>
        <w:rPr>
          <w:shd w:val="clear" w:color="auto" w:fill="FFFFFF"/>
        </w:rPr>
      </w:pPr>
      <w:r w:rsidRPr="00562834">
        <w:rPr>
          <w:shd w:val="clear" w:color="auto" w:fill="FFFFFF"/>
        </w:rPr>
        <w:t>[</w:t>
      </w:r>
      <w:r w:rsidR="00A21631" w:rsidRPr="00562834">
        <w:rPr>
          <w:shd w:val="clear" w:color="auto" w:fill="FFFFFF"/>
        </w:rPr>
        <w:t>19</w:t>
      </w:r>
      <w:r w:rsidRPr="00562834">
        <w:rPr>
          <w:shd w:val="clear" w:color="auto" w:fill="FFFFFF"/>
        </w:rPr>
        <w:t>]</w:t>
      </w:r>
      <w:r w:rsidR="005F7D61" w:rsidRPr="00562834">
        <w:rPr>
          <w:shd w:val="clear" w:color="auto" w:fill="FFFFFF"/>
        </w:rPr>
        <w:t xml:space="preserve"> </w:t>
      </w:r>
      <w:proofErr w:type="spellStart"/>
      <w:r w:rsidR="005F7D61" w:rsidRPr="00562834">
        <w:rPr>
          <w:shd w:val="clear" w:color="auto" w:fill="FFFFFF"/>
        </w:rPr>
        <w:t>Yoo</w:t>
      </w:r>
      <w:proofErr w:type="spellEnd"/>
      <w:r w:rsidR="005F7D61" w:rsidRPr="00562834">
        <w:rPr>
          <w:shd w:val="clear" w:color="auto" w:fill="FFFFFF"/>
        </w:rPr>
        <w:t xml:space="preserve">, S., </w:t>
      </w:r>
      <w:proofErr w:type="spellStart"/>
      <w:r w:rsidR="005F7D61" w:rsidRPr="00562834">
        <w:rPr>
          <w:shd w:val="clear" w:color="auto" w:fill="FFFFFF"/>
        </w:rPr>
        <w:t>Keeley</w:t>
      </w:r>
      <w:proofErr w:type="spellEnd"/>
      <w:r w:rsidR="005F7D61" w:rsidRPr="00562834">
        <w:rPr>
          <w:shd w:val="clear" w:color="auto" w:fill="FFFFFF"/>
        </w:rPr>
        <w:t xml:space="preserve">, A. R., &amp; </w:t>
      </w:r>
      <w:proofErr w:type="spellStart"/>
      <w:r w:rsidR="005F7D61" w:rsidRPr="00562834">
        <w:rPr>
          <w:shd w:val="clear" w:color="auto" w:fill="FFFFFF"/>
        </w:rPr>
        <w:t>Managi</w:t>
      </w:r>
      <w:proofErr w:type="spellEnd"/>
      <w:r w:rsidR="005F7D61" w:rsidRPr="00562834">
        <w:rPr>
          <w:shd w:val="clear" w:color="auto" w:fill="FFFFFF"/>
        </w:rPr>
        <w:t xml:space="preserve">, S. (2021). </w:t>
      </w:r>
      <w:proofErr w:type="spellStart"/>
      <w:r w:rsidR="005F7D61" w:rsidRPr="00562834">
        <w:rPr>
          <w:shd w:val="clear" w:color="auto" w:fill="FFFFFF"/>
        </w:rPr>
        <w:t>Does</w:t>
      </w:r>
      <w:proofErr w:type="spellEnd"/>
      <w:r w:rsidR="005F7D61" w:rsidRPr="00562834">
        <w:rPr>
          <w:shd w:val="clear" w:color="auto" w:fill="FFFFFF"/>
        </w:rPr>
        <w:t xml:space="preserve"> </w:t>
      </w:r>
      <w:proofErr w:type="spellStart"/>
      <w:r w:rsidR="005F7D61" w:rsidRPr="00562834">
        <w:rPr>
          <w:shd w:val="clear" w:color="auto" w:fill="FFFFFF"/>
        </w:rPr>
        <w:t>sustainability</w:t>
      </w:r>
      <w:proofErr w:type="spellEnd"/>
      <w:r w:rsidR="005F7D61" w:rsidRPr="00562834">
        <w:rPr>
          <w:shd w:val="clear" w:color="auto" w:fill="FFFFFF"/>
        </w:rPr>
        <w:t xml:space="preserve"> </w:t>
      </w:r>
      <w:proofErr w:type="spellStart"/>
      <w:r w:rsidR="005F7D61" w:rsidRPr="00562834">
        <w:rPr>
          <w:shd w:val="clear" w:color="auto" w:fill="FFFFFF"/>
        </w:rPr>
        <w:t>activities</w:t>
      </w:r>
      <w:proofErr w:type="spellEnd"/>
      <w:r w:rsidR="005F7D61" w:rsidRPr="00562834">
        <w:rPr>
          <w:shd w:val="clear" w:color="auto" w:fill="FFFFFF"/>
        </w:rPr>
        <w:t xml:space="preserve"> </w:t>
      </w:r>
      <w:proofErr w:type="spellStart"/>
      <w:r w:rsidR="005F7D61" w:rsidRPr="00562834">
        <w:rPr>
          <w:shd w:val="clear" w:color="auto" w:fill="FFFFFF"/>
        </w:rPr>
        <w:t>performance</w:t>
      </w:r>
      <w:proofErr w:type="spellEnd"/>
      <w:r w:rsidR="005F7D61" w:rsidRPr="00562834">
        <w:rPr>
          <w:shd w:val="clear" w:color="auto" w:fill="FFFFFF"/>
        </w:rPr>
        <w:t xml:space="preserve"> </w:t>
      </w:r>
      <w:proofErr w:type="spellStart"/>
      <w:r w:rsidR="005F7D61" w:rsidRPr="00562834">
        <w:rPr>
          <w:shd w:val="clear" w:color="auto" w:fill="FFFFFF"/>
        </w:rPr>
        <w:t>matter</w:t>
      </w:r>
      <w:proofErr w:type="spellEnd"/>
      <w:r w:rsidR="005F7D61" w:rsidRPr="00562834">
        <w:rPr>
          <w:shd w:val="clear" w:color="auto" w:fill="FFFFFF"/>
        </w:rPr>
        <w:t xml:space="preserve"> </w:t>
      </w:r>
      <w:proofErr w:type="spellStart"/>
      <w:r w:rsidR="005F7D61" w:rsidRPr="00562834">
        <w:rPr>
          <w:shd w:val="clear" w:color="auto" w:fill="FFFFFF"/>
        </w:rPr>
        <w:t>during</w:t>
      </w:r>
      <w:proofErr w:type="spellEnd"/>
      <w:r w:rsidR="005F7D61" w:rsidRPr="00562834">
        <w:rPr>
          <w:shd w:val="clear" w:color="auto" w:fill="FFFFFF"/>
        </w:rPr>
        <w:t xml:space="preserve"> </w:t>
      </w:r>
      <w:proofErr w:type="spellStart"/>
      <w:r w:rsidR="005F7D61" w:rsidRPr="00562834">
        <w:rPr>
          <w:shd w:val="clear" w:color="auto" w:fill="FFFFFF"/>
        </w:rPr>
        <w:t>financial</w:t>
      </w:r>
      <w:proofErr w:type="spellEnd"/>
      <w:r w:rsidR="005F7D61" w:rsidRPr="00562834">
        <w:rPr>
          <w:shd w:val="clear" w:color="auto" w:fill="FFFFFF"/>
        </w:rPr>
        <w:t xml:space="preserve"> </w:t>
      </w:r>
      <w:proofErr w:type="spellStart"/>
      <w:r w:rsidR="005F7D61" w:rsidRPr="00562834">
        <w:rPr>
          <w:shd w:val="clear" w:color="auto" w:fill="FFFFFF"/>
        </w:rPr>
        <w:t>crises</w:t>
      </w:r>
      <w:proofErr w:type="spellEnd"/>
      <w:r w:rsidR="005F7D61" w:rsidRPr="00562834">
        <w:rPr>
          <w:shd w:val="clear" w:color="auto" w:fill="FFFFFF"/>
        </w:rPr>
        <w:t xml:space="preserve">? </w:t>
      </w:r>
      <w:proofErr w:type="spellStart"/>
      <w:r w:rsidR="005F7D61" w:rsidRPr="00562834">
        <w:rPr>
          <w:shd w:val="clear" w:color="auto" w:fill="FFFFFF"/>
        </w:rPr>
        <w:t>Investigating</w:t>
      </w:r>
      <w:proofErr w:type="spellEnd"/>
      <w:r w:rsidR="005F7D61" w:rsidRPr="00562834">
        <w:rPr>
          <w:shd w:val="clear" w:color="auto" w:fill="FFFFFF"/>
        </w:rPr>
        <w:t xml:space="preserve"> </w:t>
      </w:r>
      <w:proofErr w:type="spellStart"/>
      <w:r w:rsidR="005F7D61" w:rsidRPr="00562834">
        <w:rPr>
          <w:shd w:val="clear" w:color="auto" w:fill="FFFFFF"/>
        </w:rPr>
        <w:t>the</w:t>
      </w:r>
      <w:proofErr w:type="spellEnd"/>
      <w:r w:rsidR="005F7D61" w:rsidRPr="00562834">
        <w:rPr>
          <w:shd w:val="clear" w:color="auto" w:fill="FFFFFF"/>
        </w:rPr>
        <w:t xml:space="preserve"> </w:t>
      </w:r>
      <w:proofErr w:type="spellStart"/>
      <w:r w:rsidR="005F7D61" w:rsidRPr="00562834">
        <w:rPr>
          <w:shd w:val="clear" w:color="auto" w:fill="FFFFFF"/>
        </w:rPr>
        <w:t>case</w:t>
      </w:r>
      <w:proofErr w:type="spellEnd"/>
      <w:r w:rsidR="005F7D61" w:rsidRPr="00562834">
        <w:rPr>
          <w:shd w:val="clear" w:color="auto" w:fill="FFFFFF"/>
        </w:rPr>
        <w:t xml:space="preserve"> of COVID-19.</w:t>
      </w:r>
      <w:r w:rsidR="005F7D61" w:rsidRPr="00562834">
        <w:rPr>
          <w:rStyle w:val="apple-converted-space"/>
          <w:color w:val="222222"/>
          <w:shd w:val="clear" w:color="auto" w:fill="FFFFFF"/>
        </w:rPr>
        <w:t> </w:t>
      </w:r>
      <w:proofErr w:type="spellStart"/>
      <w:r w:rsidR="005F7D61" w:rsidRPr="00562834">
        <w:rPr>
          <w:i/>
          <w:iCs/>
        </w:rPr>
        <w:t>Energy</w:t>
      </w:r>
      <w:proofErr w:type="spellEnd"/>
      <w:r w:rsidR="005F7D61" w:rsidRPr="00562834">
        <w:rPr>
          <w:i/>
          <w:iCs/>
        </w:rPr>
        <w:t xml:space="preserve"> </w:t>
      </w:r>
      <w:proofErr w:type="spellStart"/>
      <w:r w:rsidR="005F7D61" w:rsidRPr="00562834">
        <w:rPr>
          <w:i/>
          <w:iCs/>
        </w:rPr>
        <w:t>Policy</w:t>
      </w:r>
      <w:proofErr w:type="spellEnd"/>
      <w:r w:rsidR="005F7D61" w:rsidRPr="00562834">
        <w:rPr>
          <w:shd w:val="clear" w:color="auto" w:fill="FFFFFF"/>
        </w:rPr>
        <w:t>,</w:t>
      </w:r>
      <w:r w:rsidR="005F7D61" w:rsidRPr="00562834">
        <w:rPr>
          <w:rStyle w:val="apple-converted-space"/>
          <w:color w:val="222222"/>
          <w:shd w:val="clear" w:color="auto" w:fill="FFFFFF"/>
        </w:rPr>
        <w:t> </w:t>
      </w:r>
      <w:r w:rsidR="005F7D61" w:rsidRPr="00562834">
        <w:rPr>
          <w:i/>
          <w:iCs/>
        </w:rPr>
        <w:t>155</w:t>
      </w:r>
      <w:r w:rsidR="005F7D61" w:rsidRPr="00562834">
        <w:rPr>
          <w:shd w:val="clear" w:color="auto" w:fill="FFFFFF"/>
        </w:rPr>
        <w:t>, 112330.</w:t>
      </w:r>
    </w:p>
    <w:p w14:paraId="3AF8AD2F" w14:textId="00FF24FC" w:rsidR="00CC2E66" w:rsidRPr="00562834" w:rsidRDefault="00CC2E66" w:rsidP="00B97734">
      <w:pPr>
        <w:pStyle w:val="NormalWeb"/>
        <w:rPr>
          <w:color w:val="000000"/>
        </w:rPr>
      </w:pPr>
      <w:r w:rsidRPr="00562834">
        <w:rPr>
          <w:shd w:val="clear" w:color="auto" w:fill="FFFFFF"/>
        </w:rPr>
        <w:t>[2</w:t>
      </w:r>
      <w:r w:rsidR="00A21631" w:rsidRPr="00562834">
        <w:rPr>
          <w:shd w:val="clear" w:color="auto" w:fill="FFFFFF"/>
        </w:rPr>
        <w:t>0</w:t>
      </w:r>
      <w:r w:rsidRPr="00562834">
        <w:rPr>
          <w:shd w:val="clear" w:color="auto" w:fill="FFFFFF"/>
        </w:rPr>
        <w:t>]</w:t>
      </w:r>
      <w:r w:rsidR="005F7D61" w:rsidRPr="00562834">
        <w:rPr>
          <w:shd w:val="clear" w:color="auto" w:fill="FFFFFF"/>
        </w:rPr>
        <w:t xml:space="preserve"> </w:t>
      </w:r>
      <w:proofErr w:type="spellStart"/>
      <w:r w:rsidR="005F7D61" w:rsidRPr="00562834">
        <w:rPr>
          <w:shd w:val="clear" w:color="auto" w:fill="FFFFFF"/>
        </w:rPr>
        <w:t>Demers</w:t>
      </w:r>
      <w:proofErr w:type="spellEnd"/>
      <w:r w:rsidR="005F7D61" w:rsidRPr="00562834">
        <w:rPr>
          <w:shd w:val="clear" w:color="auto" w:fill="FFFFFF"/>
        </w:rPr>
        <w:t xml:space="preserve">, E., </w:t>
      </w:r>
      <w:proofErr w:type="spellStart"/>
      <w:r w:rsidR="005F7D61" w:rsidRPr="00562834">
        <w:rPr>
          <w:shd w:val="clear" w:color="auto" w:fill="FFFFFF"/>
        </w:rPr>
        <w:t>Hendrikse</w:t>
      </w:r>
      <w:proofErr w:type="spellEnd"/>
      <w:r w:rsidR="005F7D61" w:rsidRPr="00562834">
        <w:rPr>
          <w:shd w:val="clear" w:color="auto" w:fill="FFFFFF"/>
        </w:rPr>
        <w:t xml:space="preserve">, J., </w:t>
      </w:r>
      <w:proofErr w:type="spellStart"/>
      <w:r w:rsidR="005F7D61" w:rsidRPr="00562834">
        <w:rPr>
          <w:shd w:val="clear" w:color="auto" w:fill="FFFFFF"/>
        </w:rPr>
        <w:t>Joos</w:t>
      </w:r>
      <w:proofErr w:type="spellEnd"/>
      <w:r w:rsidR="005F7D61" w:rsidRPr="00562834">
        <w:rPr>
          <w:shd w:val="clear" w:color="auto" w:fill="FFFFFF"/>
        </w:rPr>
        <w:t xml:space="preserve">, P., &amp; </w:t>
      </w:r>
      <w:proofErr w:type="spellStart"/>
      <w:r w:rsidR="005F7D61" w:rsidRPr="00562834">
        <w:rPr>
          <w:shd w:val="clear" w:color="auto" w:fill="FFFFFF"/>
        </w:rPr>
        <w:t>Lev</w:t>
      </w:r>
      <w:proofErr w:type="spellEnd"/>
      <w:r w:rsidR="005F7D61" w:rsidRPr="00562834">
        <w:rPr>
          <w:shd w:val="clear" w:color="auto" w:fill="FFFFFF"/>
        </w:rPr>
        <w:t xml:space="preserve">, B. (2021). ESG </w:t>
      </w:r>
      <w:proofErr w:type="spellStart"/>
      <w:r w:rsidR="005F7D61" w:rsidRPr="00562834">
        <w:rPr>
          <w:shd w:val="clear" w:color="auto" w:fill="FFFFFF"/>
        </w:rPr>
        <w:t>did</w:t>
      </w:r>
      <w:proofErr w:type="spellEnd"/>
      <w:r w:rsidR="005F7D61" w:rsidRPr="00562834">
        <w:rPr>
          <w:shd w:val="clear" w:color="auto" w:fill="FFFFFF"/>
        </w:rPr>
        <w:t xml:space="preserve"> not </w:t>
      </w:r>
      <w:proofErr w:type="spellStart"/>
      <w:r w:rsidR="005F7D61" w:rsidRPr="00562834">
        <w:rPr>
          <w:shd w:val="clear" w:color="auto" w:fill="FFFFFF"/>
        </w:rPr>
        <w:t>immunize</w:t>
      </w:r>
      <w:proofErr w:type="spellEnd"/>
      <w:r w:rsidR="005F7D61" w:rsidRPr="00562834">
        <w:rPr>
          <w:shd w:val="clear" w:color="auto" w:fill="FFFFFF"/>
        </w:rPr>
        <w:t xml:space="preserve"> </w:t>
      </w:r>
      <w:proofErr w:type="spellStart"/>
      <w:r w:rsidR="005F7D61" w:rsidRPr="00562834">
        <w:rPr>
          <w:shd w:val="clear" w:color="auto" w:fill="FFFFFF"/>
        </w:rPr>
        <w:t>stocks</w:t>
      </w:r>
      <w:proofErr w:type="spellEnd"/>
      <w:r w:rsidR="005F7D61" w:rsidRPr="00562834">
        <w:rPr>
          <w:shd w:val="clear" w:color="auto" w:fill="FFFFFF"/>
        </w:rPr>
        <w:t xml:space="preserve"> </w:t>
      </w:r>
      <w:proofErr w:type="spellStart"/>
      <w:r w:rsidR="005F7D61" w:rsidRPr="00562834">
        <w:rPr>
          <w:shd w:val="clear" w:color="auto" w:fill="FFFFFF"/>
        </w:rPr>
        <w:t>during</w:t>
      </w:r>
      <w:proofErr w:type="spellEnd"/>
      <w:r w:rsidR="005F7D61" w:rsidRPr="00562834">
        <w:rPr>
          <w:shd w:val="clear" w:color="auto" w:fill="FFFFFF"/>
        </w:rPr>
        <w:t xml:space="preserve"> </w:t>
      </w:r>
      <w:proofErr w:type="spellStart"/>
      <w:r w:rsidR="005F7D61" w:rsidRPr="00562834">
        <w:rPr>
          <w:shd w:val="clear" w:color="auto" w:fill="FFFFFF"/>
        </w:rPr>
        <w:t>the</w:t>
      </w:r>
      <w:proofErr w:type="spellEnd"/>
      <w:r w:rsidR="005F7D61" w:rsidRPr="00562834">
        <w:rPr>
          <w:shd w:val="clear" w:color="auto" w:fill="FFFFFF"/>
        </w:rPr>
        <w:t xml:space="preserve"> COVID‐19 </w:t>
      </w:r>
      <w:proofErr w:type="spellStart"/>
      <w:r w:rsidR="005F7D61" w:rsidRPr="00562834">
        <w:rPr>
          <w:shd w:val="clear" w:color="auto" w:fill="FFFFFF"/>
        </w:rPr>
        <w:t>crisis</w:t>
      </w:r>
      <w:proofErr w:type="spellEnd"/>
      <w:r w:rsidR="005F7D61" w:rsidRPr="00562834">
        <w:rPr>
          <w:shd w:val="clear" w:color="auto" w:fill="FFFFFF"/>
        </w:rPr>
        <w:t xml:space="preserve">, but </w:t>
      </w:r>
      <w:proofErr w:type="spellStart"/>
      <w:r w:rsidR="005F7D61" w:rsidRPr="00562834">
        <w:rPr>
          <w:shd w:val="clear" w:color="auto" w:fill="FFFFFF"/>
        </w:rPr>
        <w:t>investments</w:t>
      </w:r>
      <w:proofErr w:type="spellEnd"/>
      <w:r w:rsidR="005F7D61" w:rsidRPr="00562834">
        <w:rPr>
          <w:shd w:val="clear" w:color="auto" w:fill="FFFFFF"/>
        </w:rPr>
        <w:t xml:space="preserve"> in </w:t>
      </w:r>
      <w:proofErr w:type="spellStart"/>
      <w:r w:rsidR="005F7D61" w:rsidRPr="00562834">
        <w:rPr>
          <w:shd w:val="clear" w:color="auto" w:fill="FFFFFF"/>
        </w:rPr>
        <w:t>intangible</w:t>
      </w:r>
      <w:proofErr w:type="spellEnd"/>
      <w:r w:rsidR="005F7D61" w:rsidRPr="00562834">
        <w:rPr>
          <w:shd w:val="clear" w:color="auto" w:fill="FFFFFF"/>
        </w:rPr>
        <w:t xml:space="preserve"> </w:t>
      </w:r>
      <w:proofErr w:type="spellStart"/>
      <w:r w:rsidR="005F7D61" w:rsidRPr="00562834">
        <w:rPr>
          <w:shd w:val="clear" w:color="auto" w:fill="FFFFFF"/>
        </w:rPr>
        <w:t>assets</w:t>
      </w:r>
      <w:proofErr w:type="spellEnd"/>
      <w:r w:rsidR="005F7D61" w:rsidRPr="00562834">
        <w:rPr>
          <w:shd w:val="clear" w:color="auto" w:fill="FFFFFF"/>
        </w:rPr>
        <w:t xml:space="preserve"> </w:t>
      </w:r>
      <w:proofErr w:type="spellStart"/>
      <w:r w:rsidR="005F7D61" w:rsidRPr="00562834">
        <w:rPr>
          <w:shd w:val="clear" w:color="auto" w:fill="FFFFFF"/>
        </w:rPr>
        <w:t>did</w:t>
      </w:r>
      <w:proofErr w:type="spellEnd"/>
      <w:r w:rsidR="005F7D61" w:rsidRPr="00562834">
        <w:rPr>
          <w:shd w:val="clear" w:color="auto" w:fill="FFFFFF"/>
        </w:rPr>
        <w:t>.</w:t>
      </w:r>
      <w:r w:rsidR="005F7D61" w:rsidRPr="00562834">
        <w:rPr>
          <w:rStyle w:val="apple-converted-space"/>
          <w:color w:val="222222"/>
          <w:shd w:val="clear" w:color="auto" w:fill="FFFFFF"/>
        </w:rPr>
        <w:t> </w:t>
      </w:r>
      <w:proofErr w:type="spellStart"/>
      <w:r w:rsidR="005F7D61" w:rsidRPr="00562834">
        <w:rPr>
          <w:i/>
          <w:iCs/>
        </w:rPr>
        <w:t>Journal</w:t>
      </w:r>
      <w:proofErr w:type="spellEnd"/>
      <w:r w:rsidR="005F7D61" w:rsidRPr="00562834">
        <w:rPr>
          <w:i/>
          <w:iCs/>
        </w:rPr>
        <w:t xml:space="preserve"> of Business Finance &amp; Accounting</w:t>
      </w:r>
      <w:r w:rsidR="005F7D61" w:rsidRPr="00562834">
        <w:rPr>
          <w:shd w:val="clear" w:color="auto" w:fill="FFFFFF"/>
        </w:rPr>
        <w:t>,</w:t>
      </w:r>
      <w:r w:rsidR="005F7D61" w:rsidRPr="00562834">
        <w:rPr>
          <w:rStyle w:val="apple-converted-space"/>
          <w:color w:val="222222"/>
          <w:shd w:val="clear" w:color="auto" w:fill="FFFFFF"/>
        </w:rPr>
        <w:t> </w:t>
      </w:r>
      <w:r w:rsidR="005F7D61" w:rsidRPr="00562834">
        <w:rPr>
          <w:i/>
          <w:iCs/>
        </w:rPr>
        <w:t>48</w:t>
      </w:r>
      <w:r w:rsidR="005F7D61" w:rsidRPr="00562834">
        <w:rPr>
          <w:shd w:val="clear" w:color="auto" w:fill="FFFFFF"/>
        </w:rPr>
        <w:t>(3-4), 433-462.</w:t>
      </w:r>
    </w:p>
    <w:p w14:paraId="2558F6EE" w14:textId="414DA53A" w:rsidR="00355FEA" w:rsidRPr="00562834" w:rsidRDefault="00355FEA" w:rsidP="00B97734">
      <w:pPr>
        <w:pStyle w:val="NormalWeb"/>
      </w:pPr>
      <w:r w:rsidRPr="00562834">
        <w:t>[2</w:t>
      </w:r>
      <w:r w:rsidR="00282BA6">
        <w:t>1</w:t>
      </w:r>
      <w:r w:rsidRPr="00562834">
        <w:t>]</w:t>
      </w:r>
      <w:r w:rsidR="007501E5" w:rsidRPr="00562834">
        <w:t xml:space="preserve"> </w:t>
      </w:r>
      <w:proofErr w:type="spellStart"/>
      <w:r w:rsidR="007501E5" w:rsidRPr="00562834">
        <w:rPr>
          <w:shd w:val="clear" w:color="auto" w:fill="FFFFFF"/>
        </w:rPr>
        <w:t>Gillan</w:t>
      </w:r>
      <w:proofErr w:type="spellEnd"/>
      <w:r w:rsidR="007501E5" w:rsidRPr="00562834">
        <w:rPr>
          <w:shd w:val="clear" w:color="auto" w:fill="FFFFFF"/>
        </w:rPr>
        <w:t xml:space="preserve">, S. L., </w:t>
      </w:r>
      <w:proofErr w:type="spellStart"/>
      <w:r w:rsidR="007501E5" w:rsidRPr="00562834">
        <w:rPr>
          <w:shd w:val="clear" w:color="auto" w:fill="FFFFFF"/>
        </w:rPr>
        <w:t>Koch</w:t>
      </w:r>
      <w:proofErr w:type="spellEnd"/>
      <w:r w:rsidR="007501E5" w:rsidRPr="00562834">
        <w:rPr>
          <w:shd w:val="clear" w:color="auto" w:fill="FFFFFF"/>
        </w:rPr>
        <w:t xml:space="preserve">, A., &amp; </w:t>
      </w:r>
      <w:proofErr w:type="spellStart"/>
      <w:r w:rsidR="007501E5" w:rsidRPr="00562834">
        <w:rPr>
          <w:shd w:val="clear" w:color="auto" w:fill="FFFFFF"/>
        </w:rPr>
        <w:t>Starks</w:t>
      </w:r>
      <w:proofErr w:type="spellEnd"/>
      <w:r w:rsidR="007501E5" w:rsidRPr="00562834">
        <w:rPr>
          <w:shd w:val="clear" w:color="auto" w:fill="FFFFFF"/>
        </w:rPr>
        <w:t xml:space="preserve">, L. T. (2021). </w:t>
      </w:r>
      <w:proofErr w:type="spellStart"/>
      <w:r w:rsidR="007501E5" w:rsidRPr="00562834">
        <w:rPr>
          <w:shd w:val="clear" w:color="auto" w:fill="FFFFFF"/>
        </w:rPr>
        <w:t>Firms</w:t>
      </w:r>
      <w:proofErr w:type="spellEnd"/>
      <w:r w:rsidR="007501E5" w:rsidRPr="00562834">
        <w:rPr>
          <w:shd w:val="clear" w:color="auto" w:fill="FFFFFF"/>
        </w:rPr>
        <w:t xml:space="preserve"> </w:t>
      </w:r>
      <w:proofErr w:type="spellStart"/>
      <w:r w:rsidR="007501E5" w:rsidRPr="00562834">
        <w:rPr>
          <w:shd w:val="clear" w:color="auto" w:fill="FFFFFF"/>
        </w:rPr>
        <w:t>and</w:t>
      </w:r>
      <w:proofErr w:type="spellEnd"/>
      <w:r w:rsidR="007501E5" w:rsidRPr="00562834">
        <w:rPr>
          <w:shd w:val="clear" w:color="auto" w:fill="FFFFFF"/>
        </w:rPr>
        <w:t xml:space="preserve"> </w:t>
      </w:r>
      <w:proofErr w:type="spellStart"/>
      <w:r w:rsidR="007501E5" w:rsidRPr="00562834">
        <w:rPr>
          <w:shd w:val="clear" w:color="auto" w:fill="FFFFFF"/>
        </w:rPr>
        <w:t>social</w:t>
      </w:r>
      <w:proofErr w:type="spellEnd"/>
      <w:r w:rsidR="007501E5" w:rsidRPr="00562834">
        <w:rPr>
          <w:shd w:val="clear" w:color="auto" w:fill="FFFFFF"/>
        </w:rPr>
        <w:t xml:space="preserve"> </w:t>
      </w:r>
      <w:proofErr w:type="spellStart"/>
      <w:r w:rsidR="007501E5" w:rsidRPr="00562834">
        <w:rPr>
          <w:shd w:val="clear" w:color="auto" w:fill="FFFFFF"/>
        </w:rPr>
        <w:t>responsibility</w:t>
      </w:r>
      <w:proofErr w:type="spellEnd"/>
      <w:r w:rsidR="007501E5" w:rsidRPr="00562834">
        <w:rPr>
          <w:shd w:val="clear" w:color="auto" w:fill="FFFFFF"/>
        </w:rPr>
        <w:t xml:space="preserve">: A </w:t>
      </w:r>
      <w:proofErr w:type="spellStart"/>
      <w:r w:rsidR="007501E5" w:rsidRPr="00562834">
        <w:rPr>
          <w:shd w:val="clear" w:color="auto" w:fill="FFFFFF"/>
        </w:rPr>
        <w:t>review</w:t>
      </w:r>
      <w:proofErr w:type="spellEnd"/>
      <w:r w:rsidR="007501E5" w:rsidRPr="00562834">
        <w:rPr>
          <w:shd w:val="clear" w:color="auto" w:fill="FFFFFF"/>
        </w:rPr>
        <w:t xml:space="preserve"> of ESG </w:t>
      </w:r>
      <w:proofErr w:type="spellStart"/>
      <w:r w:rsidR="007501E5" w:rsidRPr="00562834">
        <w:rPr>
          <w:shd w:val="clear" w:color="auto" w:fill="FFFFFF"/>
        </w:rPr>
        <w:t>and</w:t>
      </w:r>
      <w:proofErr w:type="spellEnd"/>
      <w:r w:rsidR="007501E5" w:rsidRPr="00562834">
        <w:rPr>
          <w:shd w:val="clear" w:color="auto" w:fill="FFFFFF"/>
        </w:rPr>
        <w:t xml:space="preserve"> CSR </w:t>
      </w:r>
      <w:proofErr w:type="spellStart"/>
      <w:r w:rsidR="007501E5" w:rsidRPr="00562834">
        <w:rPr>
          <w:shd w:val="clear" w:color="auto" w:fill="FFFFFF"/>
        </w:rPr>
        <w:t>research</w:t>
      </w:r>
      <w:proofErr w:type="spellEnd"/>
      <w:r w:rsidR="007501E5" w:rsidRPr="00562834">
        <w:rPr>
          <w:shd w:val="clear" w:color="auto" w:fill="FFFFFF"/>
        </w:rPr>
        <w:t xml:space="preserve"> in </w:t>
      </w:r>
      <w:proofErr w:type="spellStart"/>
      <w:r w:rsidR="007501E5" w:rsidRPr="00562834">
        <w:rPr>
          <w:shd w:val="clear" w:color="auto" w:fill="FFFFFF"/>
        </w:rPr>
        <w:t>corporate</w:t>
      </w:r>
      <w:proofErr w:type="spellEnd"/>
      <w:r w:rsidR="007501E5" w:rsidRPr="00562834">
        <w:rPr>
          <w:shd w:val="clear" w:color="auto" w:fill="FFFFFF"/>
        </w:rPr>
        <w:t xml:space="preserve"> </w:t>
      </w:r>
      <w:proofErr w:type="spellStart"/>
      <w:r w:rsidR="007501E5" w:rsidRPr="00562834">
        <w:rPr>
          <w:shd w:val="clear" w:color="auto" w:fill="FFFFFF"/>
        </w:rPr>
        <w:t>finance</w:t>
      </w:r>
      <w:proofErr w:type="spellEnd"/>
      <w:r w:rsidR="007501E5" w:rsidRPr="00562834">
        <w:rPr>
          <w:shd w:val="clear" w:color="auto" w:fill="FFFFFF"/>
        </w:rPr>
        <w:t>.</w:t>
      </w:r>
      <w:r w:rsidR="007501E5" w:rsidRPr="00562834">
        <w:rPr>
          <w:rStyle w:val="apple-converted-space"/>
          <w:color w:val="222222"/>
          <w:shd w:val="clear" w:color="auto" w:fill="FFFFFF"/>
        </w:rPr>
        <w:t> </w:t>
      </w:r>
      <w:proofErr w:type="spellStart"/>
      <w:r w:rsidR="007501E5" w:rsidRPr="00562834">
        <w:rPr>
          <w:i/>
          <w:iCs/>
        </w:rPr>
        <w:t>Journal</w:t>
      </w:r>
      <w:proofErr w:type="spellEnd"/>
      <w:r w:rsidR="007501E5" w:rsidRPr="00562834">
        <w:rPr>
          <w:i/>
          <w:iCs/>
        </w:rPr>
        <w:t xml:space="preserve"> of </w:t>
      </w:r>
      <w:proofErr w:type="spellStart"/>
      <w:r w:rsidR="007501E5" w:rsidRPr="00562834">
        <w:rPr>
          <w:i/>
          <w:iCs/>
        </w:rPr>
        <w:t>Corporate</w:t>
      </w:r>
      <w:proofErr w:type="spellEnd"/>
      <w:r w:rsidR="007501E5" w:rsidRPr="00562834">
        <w:rPr>
          <w:i/>
          <w:iCs/>
        </w:rPr>
        <w:t xml:space="preserve"> Finance</w:t>
      </w:r>
      <w:r w:rsidR="007501E5" w:rsidRPr="00562834">
        <w:rPr>
          <w:shd w:val="clear" w:color="auto" w:fill="FFFFFF"/>
        </w:rPr>
        <w:t>,</w:t>
      </w:r>
      <w:r w:rsidR="007501E5" w:rsidRPr="00562834">
        <w:rPr>
          <w:rStyle w:val="apple-converted-space"/>
          <w:color w:val="222222"/>
          <w:shd w:val="clear" w:color="auto" w:fill="FFFFFF"/>
        </w:rPr>
        <w:t> </w:t>
      </w:r>
      <w:r w:rsidR="007501E5" w:rsidRPr="00562834">
        <w:rPr>
          <w:i/>
          <w:iCs/>
        </w:rPr>
        <w:t>66</w:t>
      </w:r>
      <w:r w:rsidR="007501E5" w:rsidRPr="00562834">
        <w:rPr>
          <w:shd w:val="clear" w:color="auto" w:fill="FFFFFF"/>
        </w:rPr>
        <w:t>, 101889.</w:t>
      </w:r>
    </w:p>
    <w:p w14:paraId="1BF06561" w14:textId="58B68645" w:rsidR="00355FEA" w:rsidRPr="00562834" w:rsidRDefault="00355FEA" w:rsidP="00B97734">
      <w:pPr>
        <w:pStyle w:val="NormalWeb"/>
      </w:pPr>
      <w:r w:rsidRPr="00562834">
        <w:t>[2</w:t>
      </w:r>
      <w:r w:rsidR="00282BA6">
        <w:t>2</w:t>
      </w:r>
      <w:r w:rsidRPr="00562834">
        <w:t>]</w:t>
      </w:r>
      <w:r w:rsidR="007501E5" w:rsidRPr="00562834">
        <w:t xml:space="preserve"> </w:t>
      </w:r>
      <w:proofErr w:type="spellStart"/>
      <w:r w:rsidR="007501E5" w:rsidRPr="00562834">
        <w:rPr>
          <w:shd w:val="clear" w:color="auto" w:fill="FFFFFF"/>
        </w:rPr>
        <w:t>Jahmane</w:t>
      </w:r>
      <w:proofErr w:type="spellEnd"/>
      <w:r w:rsidR="007501E5" w:rsidRPr="00562834">
        <w:rPr>
          <w:shd w:val="clear" w:color="auto" w:fill="FFFFFF"/>
        </w:rPr>
        <w:t xml:space="preserve">, A., &amp; </w:t>
      </w:r>
      <w:proofErr w:type="spellStart"/>
      <w:r w:rsidR="007501E5" w:rsidRPr="00562834">
        <w:rPr>
          <w:shd w:val="clear" w:color="auto" w:fill="FFFFFF"/>
        </w:rPr>
        <w:t>Gaies</w:t>
      </w:r>
      <w:proofErr w:type="spellEnd"/>
      <w:r w:rsidR="007501E5" w:rsidRPr="00562834">
        <w:rPr>
          <w:shd w:val="clear" w:color="auto" w:fill="FFFFFF"/>
        </w:rPr>
        <w:t xml:space="preserve">, B. (2020). </w:t>
      </w:r>
      <w:proofErr w:type="spellStart"/>
      <w:r w:rsidR="007501E5" w:rsidRPr="00562834">
        <w:rPr>
          <w:shd w:val="clear" w:color="auto" w:fill="FFFFFF"/>
        </w:rPr>
        <w:t>Corporate</w:t>
      </w:r>
      <w:proofErr w:type="spellEnd"/>
      <w:r w:rsidR="007501E5" w:rsidRPr="00562834">
        <w:rPr>
          <w:shd w:val="clear" w:color="auto" w:fill="FFFFFF"/>
        </w:rPr>
        <w:t xml:space="preserve"> </w:t>
      </w:r>
      <w:proofErr w:type="spellStart"/>
      <w:r w:rsidR="007501E5" w:rsidRPr="00562834">
        <w:rPr>
          <w:shd w:val="clear" w:color="auto" w:fill="FFFFFF"/>
        </w:rPr>
        <w:t>social</w:t>
      </w:r>
      <w:proofErr w:type="spellEnd"/>
      <w:r w:rsidR="007501E5" w:rsidRPr="00562834">
        <w:rPr>
          <w:shd w:val="clear" w:color="auto" w:fill="FFFFFF"/>
        </w:rPr>
        <w:t xml:space="preserve"> </w:t>
      </w:r>
      <w:proofErr w:type="spellStart"/>
      <w:r w:rsidR="007501E5" w:rsidRPr="00562834">
        <w:rPr>
          <w:shd w:val="clear" w:color="auto" w:fill="FFFFFF"/>
        </w:rPr>
        <w:t>responsibility</w:t>
      </w:r>
      <w:proofErr w:type="spellEnd"/>
      <w:r w:rsidR="007501E5" w:rsidRPr="00562834">
        <w:rPr>
          <w:shd w:val="clear" w:color="auto" w:fill="FFFFFF"/>
        </w:rPr>
        <w:t xml:space="preserve">, </w:t>
      </w:r>
      <w:proofErr w:type="spellStart"/>
      <w:r w:rsidR="007501E5" w:rsidRPr="00562834">
        <w:rPr>
          <w:shd w:val="clear" w:color="auto" w:fill="FFFFFF"/>
        </w:rPr>
        <w:t>financial</w:t>
      </w:r>
      <w:proofErr w:type="spellEnd"/>
      <w:r w:rsidR="007501E5" w:rsidRPr="00562834">
        <w:rPr>
          <w:shd w:val="clear" w:color="auto" w:fill="FFFFFF"/>
        </w:rPr>
        <w:t xml:space="preserve"> </w:t>
      </w:r>
      <w:proofErr w:type="spellStart"/>
      <w:r w:rsidR="007501E5" w:rsidRPr="00562834">
        <w:rPr>
          <w:shd w:val="clear" w:color="auto" w:fill="FFFFFF"/>
        </w:rPr>
        <w:t>instability</w:t>
      </w:r>
      <w:proofErr w:type="spellEnd"/>
      <w:r w:rsidR="007501E5" w:rsidRPr="00562834">
        <w:rPr>
          <w:shd w:val="clear" w:color="auto" w:fill="FFFFFF"/>
        </w:rPr>
        <w:t xml:space="preserve"> </w:t>
      </w:r>
      <w:proofErr w:type="spellStart"/>
      <w:r w:rsidR="007501E5" w:rsidRPr="00562834">
        <w:rPr>
          <w:shd w:val="clear" w:color="auto" w:fill="FFFFFF"/>
        </w:rPr>
        <w:t>and</w:t>
      </w:r>
      <w:proofErr w:type="spellEnd"/>
      <w:r w:rsidR="007501E5" w:rsidRPr="00562834">
        <w:rPr>
          <w:shd w:val="clear" w:color="auto" w:fill="FFFFFF"/>
        </w:rPr>
        <w:t xml:space="preserve"> </w:t>
      </w:r>
      <w:proofErr w:type="spellStart"/>
      <w:r w:rsidR="007501E5" w:rsidRPr="00562834">
        <w:rPr>
          <w:shd w:val="clear" w:color="auto" w:fill="FFFFFF"/>
        </w:rPr>
        <w:t>corporate</w:t>
      </w:r>
      <w:proofErr w:type="spellEnd"/>
      <w:r w:rsidR="007501E5" w:rsidRPr="00562834">
        <w:rPr>
          <w:shd w:val="clear" w:color="auto" w:fill="FFFFFF"/>
        </w:rPr>
        <w:t xml:space="preserve"> </w:t>
      </w:r>
      <w:proofErr w:type="spellStart"/>
      <w:r w:rsidR="007501E5" w:rsidRPr="00562834">
        <w:rPr>
          <w:shd w:val="clear" w:color="auto" w:fill="FFFFFF"/>
        </w:rPr>
        <w:t>financial</w:t>
      </w:r>
      <w:proofErr w:type="spellEnd"/>
      <w:r w:rsidR="007501E5" w:rsidRPr="00562834">
        <w:rPr>
          <w:shd w:val="clear" w:color="auto" w:fill="FFFFFF"/>
        </w:rPr>
        <w:t xml:space="preserve"> </w:t>
      </w:r>
      <w:proofErr w:type="spellStart"/>
      <w:r w:rsidR="007501E5" w:rsidRPr="00562834">
        <w:rPr>
          <w:shd w:val="clear" w:color="auto" w:fill="FFFFFF"/>
        </w:rPr>
        <w:t>performance</w:t>
      </w:r>
      <w:proofErr w:type="spellEnd"/>
      <w:r w:rsidR="007501E5" w:rsidRPr="00562834">
        <w:rPr>
          <w:shd w:val="clear" w:color="auto" w:fill="FFFFFF"/>
        </w:rPr>
        <w:t xml:space="preserve">: </w:t>
      </w:r>
      <w:proofErr w:type="spellStart"/>
      <w:r w:rsidR="007501E5" w:rsidRPr="00562834">
        <w:rPr>
          <w:shd w:val="clear" w:color="auto" w:fill="FFFFFF"/>
        </w:rPr>
        <w:t>Linear</w:t>
      </w:r>
      <w:proofErr w:type="spellEnd"/>
      <w:r w:rsidR="007501E5" w:rsidRPr="00562834">
        <w:rPr>
          <w:shd w:val="clear" w:color="auto" w:fill="FFFFFF"/>
        </w:rPr>
        <w:t xml:space="preserve">, </w:t>
      </w:r>
      <w:proofErr w:type="spellStart"/>
      <w:r w:rsidR="007501E5" w:rsidRPr="00562834">
        <w:rPr>
          <w:shd w:val="clear" w:color="auto" w:fill="FFFFFF"/>
        </w:rPr>
        <w:t>non-linear</w:t>
      </w:r>
      <w:proofErr w:type="spellEnd"/>
      <w:r w:rsidR="007501E5" w:rsidRPr="00562834">
        <w:rPr>
          <w:shd w:val="clear" w:color="auto" w:fill="FFFFFF"/>
        </w:rPr>
        <w:t xml:space="preserve"> </w:t>
      </w:r>
      <w:proofErr w:type="spellStart"/>
      <w:r w:rsidR="007501E5" w:rsidRPr="00562834">
        <w:rPr>
          <w:shd w:val="clear" w:color="auto" w:fill="FFFFFF"/>
        </w:rPr>
        <w:t>and</w:t>
      </w:r>
      <w:proofErr w:type="spellEnd"/>
      <w:r w:rsidR="007501E5" w:rsidRPr="00562834">
        <w:rPr>
          <w:shd w:val="clear" w:color="auto" w:fill="FFFFFF"/>
        </w:rPr>
        <w:t xml:space="preserve"> </w:t>
      </w:r>
      <w:proofErr w:type="spellStart"/>
      <w:r w:rsidR="007501E5" w:rsidRPr="00562834">
        <w:rPr>
          <w:shd w:val="clear" w:color="auto" w:fill="FFFFFF"/>
        </w:rPr>
        <w:t>spillover</w:t>
      </w:r>
      <w:proofErr w:type="spellEnd"/>
      <w:r w:rsidR="007501E5" w:rsidRPr="00562834">
        <w:rPr>
          <w:shd w:val="clear" w:color="auto" w:fill="FFFFFF"/>
        </w:rPr>
        <w:t xml:space="preserve"> </w:t>
      </w:r>
      <w:proofErr w:type="spellStart"/>
      <w:r w:rsidR="007501E5" w:rsidRPr="00562834">
        <w:rPr>
          <w:shd w:val="clear" w:color="auto" w:fill="FFFFFF"/>
        </w:rPr>
        <w:t>effects</w:t>
      </w:r>
      <w:proofErr w:type="spellEnd"/>
      <w:r w:rsidR="007501E5" w:rsidRPr="00562834">
        <w:rPr>
          <w:shd w:val="clear" w:color="auto" w:fill="FFFFFF"/>
        </w:rPr>
        <w:t>–</w:t>
      </w:r>
      <w:proofErr w:type="spellStart"/>
      <w:r w:rsidR="007501E5" w:rsidRPr="00562834">
        <w:rPr>
          <w:shd w:val="clear" w:color="auto" w:fill="FFFFFF"/>
        </w:rPr>
        <w:t>The</w:t>
      </w:r>
      <w:proofErr w:type="spellEnd"/>
      <w:r w:rsidR="007501E5" w:rsidRPr="00562834">
        <w:rPr>
          <w:shd w:val="clear" w:color="auto" w:fill="FFFFFF"/>
        </w:rPr>
        <w:t xml:space="preserve"> </w:t>
      </w:r>
      <w:proofErr w:type="spellStart"/>
      <w:r w:rsidR="007501E5" w:rsidRPr="00562834">
        <w:rPr>
          <w:shd w:val="clear" w:color="auto" w:fill="FFFFFF"/>
        </w:rPr>
        <w:t>case</w:t>
      </w:r>
      <w:proofErr w:type="spellEnd"/>
      <w:r w:rsidR="007501E5" w:rsidRPr="00562834">
        <w:rPr>
          <w:shd w:val="clear" w:color="auto" w:fill="FFFFFF"/>
        </w:rPr>
        <w:t xml:space="preserve"> of </w:t>
      </w:r>
      <w:proofErr w:type="spellStart"/>
      <w:r w:rsidR="007501E5" w:rsidRPr="00562834">
        <w:rPr>
          <w:shd w:val="clear" w:color="auto" w:fill="FFFFFF"/>
        </w:rPr>
        <w:t>the</w:t>
      </w:r>
      <w:proofErr w:type="spellEnd"/>
      <w:r w:rsidR="007501E5" w:rsidRPr="00562834">
        <w:rPr>
          <w:shd w:val="clear" w:color="auto" w:fill="FFFFFF"/>
        </w:rPr>
        <w:t xml:space="preserve"> CAC 40 </w:t>
      </w:r>
      <w:proofErr w:type="spellStart"/>
      <w:r w:rsidR="007501E5" w:rsidRPr="00562834">
        <w:rPr>
          <w:shd w:val="clear" w:color="auto" w:fill="FFFFFF"/>
        </w:rPr>
        <w:t>companies</w:t>
      </w:r>
      <w:proofErr w:type="spellEnd"/>
      <w:r w:rsidR="007501E5" w:rsidRPr="00562834">
        <w:rPr>
          <w:shd w:val="clear" w:color="auto" w:fill="FFFFFF"/>
        </w:rPr>
        <w:t>.</w:t>
      </w:r>
      <w:r w:rsidR="007501E5" w:rsidRPr="00562834">
        <w:rPr>
          <w:rStyle w:val="apple-converted-space"/>
          <w:color w:val="222222"/>
          <w:shd w:val="clear" w:color="auto" w:fill="FFFFFF"/>
        </w:rPr>
        <w:t> </w:t>
      </w:r>
      <w:r w:rsidR="007501E5" w:rsidRPr="00562834">
        <w:rPr>
          <w:i/>
          <w:iCs/>
        </w:rPr>
        <w:t xml:space="preserve">Finance </w:t>
      </w:r>
      <w:proofErr w:type="spellStart"/>
      <w:r w:rsidR="007501E5" w:rsidRPr="00562834">
        <w:rPr>
          <w:i/>
          <w:iCs/>
        </w:rPr>
        <w:t>Research</w:t>
      </w:r>
      <w:proofErr w:type="spellEnd"/>
      <w:r w:rsidR="007501E5" w:rsidRPr="00562834">
        <w:rPr>
          <w:i/>
          <w:iCs/>
        </w:rPr>
        <w:t xml:space="preserve"> </w:t>
      </w:r>
      <w:proofErr w:type="spellStart"/>
      <w:r w:rsidR="007501E5" w:rsidRPr="00562834">
        <w:rPr>
          <w:i/>
          <w:iCs/>
        </w:rPr>
        <w:t>Letters</w:t>
      </w:r>
      <w:proofErr w:type="spellEnd"/>
      <w:r w:rsidR="007501E5" w:rsidRPr="00562834">
        <w:rPr>
          <w:shd w:val="clear" w:color="auto" w:fill="FFFFFF"/>
        </w:rPr>
        <w:t>,</w:t>
      </w:r>
      <w:r w:rsidR="007501E5" w:rsidRPr="00562834">
        <w:rPr>
          <w:rStyle w:val="apple-converted-space"/>
          <w:color w:val="222222"/>
          <w:shd w:val="clear" w:color="auto" w:fill="FFFFFF"/>
        </w:rPr>
        <w:t> </w:t>
      </w:r>
      <w:r w:rsidR="007501E5" w:rsidRPr="00562834">
        <w:rPr>
          <w:i/>
          <w:iCs/>
        </w:rPr>
        <w:t>34</w:t>
      </w:r>
      <w:r w:rsidR="007501E5" w:rsidRPr="00562834">
        <w:rPr>
          <w:shd w:val="clear" w:color="auto" w:fill="FFFFFF"/>
        </w:rPr>
        <w:t>, 101483.</w:t>
      </w:r>
    </w:p>
    <w:p w14:paraId="09438771" w14:textId="4A90E70F" w:rsidR="00355FEA" w:rsidRPr="00562834" w:rsidRDefault="00355FEA" w:rsidP="00B97734">
      <w:pPr>
        <w:pStyle w:val="NormalWeb"/>
      </w:pPr>
      <w:r w:rsidRPr="00562834">
        <w:t>[2</w:t>
      </w:r>
      <w:r w:rsidR="00282BA6">
        <w:t>3</w:t>
      </w:r>
      <w:r w:rsidRPr="00562834">
        <w:t>]</w:t>
      </w:r>
      <w:r w:rsidR="007501E5" w:rsidRPr="00562834">
        <w:t xml:space="preserve"> </w:t>
      </w:r>
      <w:proofErr w:type="spellStart"/>
      <w:r w:rsidR="007501E5" w:rsidRPr="00562834">
        <w:rPr>
          <w:shd w:val="clear" w:color="auto" w:fill="FFFFFF"/>
        </w:rPr>
        <w:t>Vuong</w:t>
      </w:r>
      <w:proofErr w:type="spellEnd"/>
      <w:r w:rsidR="007501E5" w:rsidRPr="00562834">
        <w:rPr>
          <w:shd w:val="clear" w:color="auto" w:fill="FFFFFF"/>
        </w:rPr>
        <w:t xml:space="preserve">, N. B. (2022). Investor </w:t>
      </w:r>
      <w:proofErr w:type="spellStart"/>
      <w:r w:rsidR="007501E5" w:rsidRPr="00562834">
        <w:rPr>
          <w:shd w:val="clear" w:color="auto" w:fill="FFFFFF"/>
        </w:rPr>
        <w:t>sentiment</w:t>
      </w:r>
      <w:proofErr w:type="spellEnd"/>
      <w:r w:rsidR="007501E5" w:rsidRPr="00562834">
        <w:rPr>
          <w:shd w:val="clear" w:color="auto" w:fill="FFFFFF"/>
        </w:rPr>
        <w:t xml:space="preserve">, </w:t>
      </w:r>
      <w:proofErr w:type="spellStart"/>
      <w:r w:rsidR="007501E5" w:rsidRPr="00562834">
        <w:rPr>
          <w:shd w:val="clear" w:color="auto" w:fill="FFFFFF"/>
        </w:rPr>
        <w:t>corporate</w:t>
      </w:r>
      <w:proofErr w:type="spellEnd"/>
      <w:r w:rsidR="007501E5" w:rsidRPr="00562834">
        <w:rPr>
          <w:shd w:val="clear" w:color="auto" w:fill="FFFFFF"/>
        </w:rPr>
        <w:t xml:space="preserve"> </w:t>
      </w:r>
      <w:proofErr w:type="spellStart"/>
      <w:r w:rsidR="007501E5" w:rsidRPr="00562834">
        <w:rPr>
          <w:shd w:val="clear" w:color="auto" w:fill="FFFFFF"/>
        </w:rPr>
        <w:t>social</w:t>
      </w:r>
      <w:proofErr w:type="spellEnd"/>
      <w:r w:rsidR="007501E5" w:rsidRPr="00562834">
        <w:rPr>
          <w:shd w:val="clear" w:color="auto" w:fill="FFFFFF"/>
        </w:rPr>
        <w:t xml:space="preserve"> </w:t>
      </w:r>
      <w:proofErr w:type="spellStart"/>
      <w:r w:rsidR="007501E5" w:rsidRPr="00562834">
        <w:rPr>
          <w:shd w:val="clear" w:color="auto" w:fill="FFFFFF"/>
        </w:rPr>
        <w:t>responsibility</w:t>
      </w:r>
      <w:proofErr w:type="spellEnd"/>
      <w:r w:rsidR="007501E5" w:rsidRPr="00562834">
        <w:rPr>
          <w:shd w:val="clear" w:color="auto" w:fill="FFFFFF"/>
        </w:rPr>
        <w:t xml:space="preserve">, </w:t>
      </w:r>
      <w:proofErr w:type="spellStart"/>
      <w:r w:rsidR="007501E5" w:rsidRPr="00562834">
        <w:rPr>
          <w:shd w:val="clear" w:color="auto" w:fill="FFFFFF"/>
        </w:rPr>
        <w:t>and</w:t>
      </w:r>
      <w:proofErr w:type="spellEnd"/>
      <w:r w:rsidR="007501E5" w:rsidRPr="00562834">
        <w:rPr>
          <w:shd w:val="clear" w:color="auto" w:fill="FFFFFF"/>
        </w:rPr>
        <w:t xml:space="preserve"> </w:t>
      </w:r>
      <w:proofErr w:type="spellStart"/>
      <w:r w:rsidR="007501E5" w:rsidRPr="00562834">
        <w:rPr>
          <w:shd w:val="clear" w:color="auto" w:fill="FFFFFF"/>
        </w:rPr>
        <w:t>financial</w:t>
      </w:r>
      <w:proofErr w:type="spellEnd"/>
      <w:r w:rsidR="007501E5" w:rsidRPr="00562834">
        <w:rPr>
          <w:shd w:val="clear" w:color="auto" w:fill="FFFFFF"/>
        </w:rPr>
        <w:t xml:space="preserve"> </w:t>
      </w:r>
      <w:proofErr w:type="spellStart"/>
      <w:r w:rsidR="007501E5" w:rsidRPr="00562834">
        <w:rPr>
          <w:shd w:val="clear" w:color="auto" w:fill="FFFFFF"/>
        </w:rPr>
        <w:t>performance</w:t>
      </w:r>
      <w:proofErr w:type="spellEnd"/>
      <w:r w:rsidR="007501E5" w:rsidRPr="00562834">
        <w:rPr>
          <w:shd w:val="clear" w:color="auto" w:fill="FFFFFF"/>
        </w:rPr>
        <w:t xml:space="preserve">: </w:t>
      </w:r>
      <w:proofErr w:type="spellStart"/>
      <w:r w:rsidR="007501E5" w:rsidRPr="00562834">
        <w:rPr>
          <w:shd w:val="clear" w:color="auto" w:fill="FFFFFF"/>
        </w:rPr>
        <w:t>Evidence</w:t>
      </w:r>
      <w:proofErr w:type="spellEnd"/>
      <w:r w:rsidR="007501E5" w:rsidRPr="00562834">
        <w:rPr>
          <w:shd w:val="clear" w:color="auto" w:fill="FFFFFF"/>
        </w:rPr>
        <w:t xml:space="preserve"> </w:t>
      </w:r>
      <w:proofErr w:type="spellStart"/>
      <w:r w:rsidR="007501E5" w:rsidRPr="00562834">
        <w:rPr>
          <w:shd w:val="clear" w:color="auto" w:fill="FFFFFF"/>
        </w:rPr>
        <w:t>from</w:t>
      </w:r>
      <w:proofErr w:type="spellEnd"/>
      <w:r w:rsidR="007501E5" w:rsidRPr="00562834">
        <w:rPr>
          <w:shd w:val="clear" w:color="auto" w:fill="FFFFFF"/>
        </w:rPr>
        <w:t xml:space="preserve"> </w:t>
      </w:r>
      <w:proofErr w:type="spellStart"/>
      <w:r w:rsidR="007501E5" w:rsidRPr="00562834">
        <w:rPr>
          <w:shd w:val="clear" w:color="auto" w:fill="FFFFFF"/>
        </w:rPr>
        <w:t>Japanese</w:t>
      </w:r>
      <w:proofErr w:type="spellEnd"/>
      <w:r w:rsidR="007501E5" w:rsidRPr="00562834">
        <w:rPr>
          <w:shd w:val="clear" w:color="auto" w:fill="FFFFFF"/>
        </w:rPr>
        <w:t xml:space="preserve"> </w:t>
      </w:r>
      <w:proofErr w:type="spellStart"/>
      <w:r w:rsidR="007501E5" w:rsidRPr="00562834">
        <w:rPr>
          <w:shd w:val="clear" w:color="auto" w:fill="FFFFFF"/>
        </w:rPr>
        <w:t>companies</w:t>
      </w:r>
      <w:proofErr w:type="spellEnd"/>
      <w:r w:rsidR="007501E5" w:rsidRPr="00562834">
        <w:rPr>
          <w:shd w:val="clear" w:color="auto" w:fill="FFFFFF"/>
        </w:rPr>
        <w:t>.</w:t>
      </w:r>
      <w:r w:rsidR="007501E5" w:rsidRPr="00562834">
        <w:rPr>
          <w:rStyle w:val="apple-converted-space"/>
          <w:color w:val="222222"/>
          <w:shd w:val="clear" w:color="auto" w:fill="FFFFFF"/>
        </w:rPr>
        <w:t> </w:t>
      </w:r>
      <w:r w:rsidR="007501E5" w:rsidRPr="00562834">
        <w:rPr>
          <w:i/>
          <w:iCs/>
        </w:rPr>
        <w:t xml:space="preserve">Borsa </w:t>
      </w:r>
      <w:proofErr w:type="spellStart"/>
      <w:r w:rsidR="007501E5" w:rsidRPr="00562834">
        <w:rPr>
          <w:i/>
          <w:iCs/>
        </w:rPr>
        <w:t>Istanbul</w:t>
      </w:r>
      <w:proofErr w:type="spellEnd"/>
      <w:r w:rsidR="007501E5" w:rsidRPr="00562834">
        <w:rPr>
          <w:i/>
          <w:iCs/>
        </w:rPr>
        <w:t xml:space="preserve"> </w:t>
      </w:r>
      <w:proofErr w:type="spellStart"/>
      <w:r w:rsidR="007501E5" w:rsidRPr="00562834">
        <w:rPr>
          <w:i/>
          <w:iCs/>
        </w:rPr>
        <w:t>Review</w:t>
      </w:r>
      <w:proofErr w:type="spellEnd"/>
      <w:r w:rsidR="007501E5" w:rsidRPr="00562834">
        <w:rPr>
          <w:shd w:val="clear" w:color="auto" w:fill="FFFFFF"/>
        </w:rPr>
        <w:t>,</w:t>
      </w:r>
      <w:r w:rsidR="007501E5" w:rsidRPr="00562834">
        <w:rPr>
          <w:rStyle w:val="apple-converted-space"/>
          <w:color w:val="222222"/>
          <w:shd w:val="clear" w:color="auto" w:fill="FFFFFF"/>
        </w:rPr>
        <w:t> </w:t>
      </w:r>
      <w:r w:rsidR="007501E5" w:rsidRPr="00562834">
        <w:rPr>
          <w:i/>
          <w:iCs/>
        </w:rPr>
        <w:t>22</w:t>
      </w:r>
      <w:r w:rsidR="007501E5" w:rsidRPr="00562834">
        <w:rPr>
          <w:shd w:val="clear" w:color="auto" w:fill="FFFFFF"/>
        </w:rPr>
        <w:t>(5), 911-924.</w:t>
      </w:r>
    </w:p>
    <w:p w14:paraId="0A626B18" w14:textId="0CEAD8F0" w:rsidR="00355FEA" w:rsidRPr="00562834" w:rsidRDefault="00355FEA" w:rsidP="00B97734">
      <w:pPr>
        <w:pStyle w:val="NormalWeb"/>
      </w:pPr>
      <w:r w:rsidRPr="00562834">
        <w:t>[2</w:t>
      </w:r>
      <w:r w:rsidR="00282BA6">
        <w:t>4</w:t>
      </w:r>
      <w:r w:rsidRPr="00562834">
        <w:t>]</w:t>
      </w:r>
      <w:r w:rsidR="002F2030" w:rsidRPr="00562834">
        <w:t xml:space="preserve"> Aydoğmuş M., Gülay G. &amp; Ergun K. (2022) </w:t>
      </w:r>
      <w:proofErr w:type="spellStart"/>
      <w:r w:rsidR="002F2030" w:rsidRPr="00562834">
        <w:t>Impact</w:t>
      </w:r>
      <w:proofErr w:type="spellEnd"/>
      <w:r w:rsidR="002F2030" w:rsidRPr="00562834">
        <w:t xml:space="preserve"> Of </w:t>
      </w:r>
      <w:proofErr w:type="spellStart"/>
      <w:r w:rsidR="002F2030" w:rsidRPr="00562834">
        <w:t>Esg</w:t>
      </w:r>
      <w:proofErr w:type="spellEnd"/>
      <w:r w:rsidR="002F2030" w:rsidRPr="00562834">
        <w:t xml:space="preserve"> </w:t>
      </w:r>
      <w:proofErr w:type="spellStart"/>
      <w:r w:rsidR="002F2030" w:rsidRPr="00562834">
        <w:t>Performance</w:t>
      </w:r>
      <w:proofErr w:type="spellEnd"/>
      <w:r w:rsidR="002F2030" w:rsidRPr="00562834">
        <w:t xml:space="preserve"> On </w:t>
      </w:r>
      <w:proofErr w:type="spellStart"/>
      <w:r w:rsidR="002F2030" w:rsidRPr="00562834">
        <w:t>Firm</w:t>
      </w:r>
      <w:proofErr w:type="spellEnd"/>
      <w:r w:rsidR="002F2030" w:rsidRPr="00562834">
        <w:t xml:space="preserve"> Value </w:t>
      </w:r>
      <w:proofErr w:type="spellStart"/>
      <w:r w:rsidR="002F2030" w:rsidRPr="00562834">
        <w:t>And</w:t>
      </w:r>
      <w:proofErr w:type="spellEnd"/>
      <w:r w:rsidR="002F2030" w:rsidRPr="00562834">
        <w:t xml:space="preserve"> </w:t>
      </w:r>
      <w:proofErr w:type="spellStart"/>
      <w:r w:rsidR="002F2030" w:rsidRPr="00562834">
        <w:t>Profitability</w:t>
      </w:r>
      <w:proofErr w:type="spellEnd"/>
      <w:r w:rsidR="002F2030" w:rsidRPr="00562834">
        <w:t xml:space="preserve"> , </w:t>
      </w:r>
      <w:r w:rsidR="002F2030" w:rsidRPr="00562834">
        <w:rPr>
          <w:i/>
          <w:iCs/>
        </w:rPr>
        <w:t xml:space="preserve">Borsa </w:t>
      </w:r>
      <w:proofErr w:type="spellStart"/>
      <w:r w:rsidR="002F2030" w:rsidRPr="00562834">
        <w:rPr>
          <w:i/>
          <w:iCs/>
        </w:rPr>
        <w:t>istanbul</w:t>
      </w:r>
      <w:proofErr w:type="spellEnd"/>
      <w:r w:rsidR="002F2030" w:rsidRPr="00562834">
        <w:rPr>
          <w:i/>
          <w:iCs/>
        </w:rPr>
        <w:t xml:space="preserve"> </w:t>
      </w:r>
      <w:proofErr w:type="spellStart"/>
      <w:r w:rsidR="002F2030" w:rsidRPr="00562834">
        <w:rPr>
          <w:i/>
          <w:iCs/>
        </w:rPr>
        <w:t>Review</w:t>
      </w:r>
      <w:proofErr w:type="spellEnd"/>
      <w:r w:rsidR="002F2030" w:rsidRPr="00562834">
        <w:t xml:space="preserve"> https://doi.org/10.1016/j.bir.2022.11.006.</w:t>
      </w:r>
    </w:p>
    <w:p w14:paraId="0CC6E3BD" w14:textId="62CEE6B9" w:rsidR="00355FEA" w:rsidRPr="00562834" w:rsidRDefault="00355FEA" w:rsidP="00B97734">
      <w:pPr>
        <w:pStyle w:val="NormalWeb"/>
      </w:pPr>
      <w:r w:rsidRPr="00562834">
        <w:t>[2</w:t>
      </w:r>
      <w:r w:rsidR="00282BA6">
        <w:t>5</w:t>
      </w:r>
      <w:r w:rsidRPr="00562834">
        <w:t>]</w:t>
      </w:r>
      <w:r w:rsidR="002F2030" w:rsidRPr="00562834">
        <w:t xml:space="preserve"> </w:t>
      </w:r>
      <w:proofErr w:type="spellStart"/>
      <w:r w:rsidR="002F2030" w:rsidRPr="00562834">
        <w:rPr>
          <w:shd w:val="clear" w:color="auto" w:fill="FFFFFF"/>
        </w:rPr>
        <w:t>Ruan</w:t>
      </w:r>
      <w:proofErr w:type="spellEnd"/>
      <w:r w:rsidR="002F2030" w:rsidRPr="00562834">
        <w:rPr>
          <w:shd w:val="clear" w:color="auto" w:fill="FFFFFF"/>
        </w:rPr>
        <w:t xml:space="preserve">, L., &amp; </w:t>
      </w:r>
      <w:proofErr w:type="spellStart"/>
      <w:r w:rsidR="002F2030" w:rsidRPr="00562834">
        <w:rPr>
          <w:shd w:val="clear" w:color="auto" w:fill="FFFFFF"/>
        </w:rPr>
        <w:t>Liu</w:t>
      </w:r>
      <w:proofErr w:type="spellEnd"/>
      <w:r w:rsidR="002F2030" w:rsidRPr="00562834">
        <w:rPr>
          <w:shd w:val="clear" w:color="auto" w:fill="FFFFFF"/>
        </w:rPr>
        <w:t xml:space="preserve">, H. (2021). </w:t>
      </w:r>
      <w:proofErr w:type="spellStart"/>
      <w:r w:rsidR="002F2030" w:rsidRPr="00562834">
        <w:rPr>
          <w:shd w:val="clear" w:color="auto" w:fill="FFFFFF"/>
        </w:rPr>
        <w:t>Environmental</w:t>
      </w:r>
      <w:proofErr w:type="spellEnd"/>
      <w:r w:rsidR="002F2030" w:rsidRPr="00562834">
        <w:rPr>
          <w:shd w:val="clear" w:color="auto" w:fill="FFFFFF"/>
        </w:rPr>
        <w:t xml:space="preserve">, </w:t>
      </w:r>
      <w:proofErr w:type="spellStart"/>
      <w:r w:rsidR="002F2030" w:rsidRPr="00562834">
        <w:rPr>
          <w:shd w:val="clear" w:color="auto" w:fill="FFFFFF"/>
        </w:rPr>
        <w:t>social</w:t>
      </w:r>
      <w:proofErr w:type="spellEnd"/>
      <w:r w:rsidR="002F2030" w:rsidRPr="00562834">
        <w:rPr>
          <w:shd w:val="clear" w:color="auto" w:fill="FFFFFF"/>
        </w:rPr>
        <w:t xml:space="preserve">, </w:t>
      </w:r>
      <w:proofErr w:type="spellStart"/>
      <w:r w:rsidR="002F2030" w:rsidRPr="00562834">
        <w:rPr>
          <w:shd w:val="clear" w:color="auto" w:fill="FFFFFF"/>
        </w:rPr>
        <w:t>governance</w:t>
      </w:r>
      <w:proofErr w:type="spellEnd"/>
      <w:r w:rsidR="002F2030" w:rsidRPr="00562834">
        <w:rPr>
          <w:shd w:val="clear" w:color="auto" w:fill="FFFFFF"/>
        </w:rPr>
        <w:t xml:space="preserve"> </w:t>
      </w:r>
      <w:proofErr w:type="spellStart"/>
      <w:r w:rsidR="002F2030" w:rsidRPr="00562834">
        <w:rPr>
          <w:shd w:val="clear" w:color="auto" w:fill="FFFFFF"/>
        </w:rPr>
        <w:t>activities</w:t>
      </w:r>
      <w:proofErr w:type="spellEnd"/>
      <w:r w:rsidR="002F2030" w:rsidRPr="00562834">
        <w:rPr>
          <w:shd w:val="clear" w:color="auto" w:fill="FFFFFF"/>
        </w:rPr>
        <w:t xml:space="preserve"> </w:t>
      </w:r>
      <w:proofErr w:type="spellStart"/>
      <w:r w:rsidR="002F2030" w:rsidRPr="00562834">
        <w:rPr>
          <w:shd w:val="clear" w:color="auto" w:fill="FFFFFF"/>
        </w:rPr>
        <w:t>and</w:t>
      </w:r>
      <w:proofErr w:type="spellEnd"/>
      <w:r w:rsidR="002F2030" w:rsidRPr="00562834">
        <w:rPr>
          <w:shd w:val="clear" w:color="auto" w:fill="FFFFFF"/>
        </w:rPr>
        <w:t xml:space="preserve"> </w:t>
      </w:r>
      <w:proofErr w:type="spellStart"/>
      <w:r w:rsidR="002F2030" w:rsidRPr="00562834">
        <w:rPr>
          <w:shd w:val="clear" w:color="auto" w:fill="FFFFFF"/>
        </w:rPr>
        <w:t>firm</w:t>
      </w:r>
      <w:proofErr w:type="spellEnd"/>
      <w:r w:rsidR="002F2030" w:rsidRPr="00562834">
        <w:rPr>
          <w:shd w:val="clear" w:color="auto" w:fill="FFFFFF"/>
        </w:rPr>
        <w:t xml:space="preserve"> </w:t>
      </w:r>
      <w:proofErr w:type="spellStart"/>
      <w:r w:rsidR="002F2030" w:rsidRPr="00562834">
        <w:rPr>
          <w:shd w:val="clear" w:color="auto" w:fill="FFFFFF"/>
        </w:rPr>
        <w:t>performance</w:t>
      </w:r>
      <w:proofErr w:type="spellEnd"/>
      <w:r w:rsidR="002F2030" w:rsidRPr="00562834">
        <w:rPr>
          <w:shd w:val="clear" w:color="auto" w:fill="FFFFFF"/>
        </w:rPr>
        <w:t xml:space="preserve">: </w:t>
      </w:r>
      <w:proofErr w:type="spellStart"/>
      <w:r w:rsidR="002F2030" w:rsidRPr="00562834">
        <w:rPr>
          <w:shd w:val="clear" w:color="auto" w:fill="FFFFFF"/>
        </w:rPr>
        <w:t>Evidence</w:t>
      </w:r>
      <w:proofErr w:type="spellEnd"/>
      <w:r w:rsidR="002F2030" w:rsidRPr="00562834">
        <w:rPr>
          <w:shd w:val="clear" w:color="auto" w:fill="FFFFFF"/>
        </w:rPr>
        <w:t xml:space="preserve"> </w:t>
      </w:r>
      <w:proofErr w:type="spellStart"/>
      <w:r w:rsidR="002F2030" w:rsidRPr="00562834">
        <w:rPr>
          <w:shd w:val="clear" w:color="auto" w:fill="FFFFFF"/>
        </w:rPr>
        <w:t>from</w:t>
      </w:r>
      <w:proofErr w:type="spellEnd"/>
      <w:r w:rsidR="002F2030" w:rsidRPr="00562834">
        <w:rPr>
          <w:shd w:val="clear" w:color="auto" w:fill="FFFFFF"/>
        </w:rPr>
        <w:t xml:space="preserve"> </w:t>
      </w:r>
      <w:proofErr w:type="spellStart"/>
      <w:r w:rsidR="002F2030" w:rsidRPr="00562834">
        <w:rPr>
          <w:shd w:val="clear" w:color="auto" w:fill="FFFFFF"/>
        </w:rPr>
        <w:t>China</w:t>
      </w:r>
      <w:proofErr w:type="spellEnd"/>
      <w:r w:rsidR="002F2030" w:rsidRPr="00562834">
        <w:rPr>
          <w:shd w:val="clear" w:color="auto" w:fill="FFFFFF"/>
        </w:rPr>
        <w:t>.</w:t>
      </w:r>
      <w:r w:rsidR="002F2030" w:rsidRPr="00562834">
        <w:rPr>
          <w:rStyle w:val="apple-converted-space"/>
          <w:color w:val="222222"/>
          <w:shd w:val="clear" w:color="auto" w:fill="FFFFFF"/>
        </w:rPr>
        <w:t> </w:t>
      </w:r>
      <w:proofErr w:type="spellStart"/>
      <w:r w:rsidR="002F2030" w:rsidRPr="00562834">
        <w:rPr>
          <w:i/>
          <w:iCs/>
        </w:rPr>
        <w:t>Sustainability</w:t>
      </w:r>
      <w:proofErr w:type="spellEnd"/>
      <w:r w:rsidR="002F2030" w:rsidRPr="00562834">
        <w:rPr>
          <w:shd w:val="clear" w:color="auto" w:fill="FFFFFF"/>
        </w:rPr>
        <w:t>,</w:t>
      </w:r>
      <w:r w:rsidR="002F2030" w:rsidRPr="00562834">
        <w:rPr>
          <w:rStyle w:val="apple-converted-space"/>
          <w:color w:val="222222"/>
          <w:shd w:val="clear" w:color="auto" w:fill="FFFFFF"/>
        </w:rPr>
        <w:t> </w:t>
      </w:r>
      <w:r w:rsidR="002F2030" w:rsidRPr="00562834">
        <w:rPr>
          <w:i/>
          <w:iCs/>
        </w:rPr>
        <w:t>13</w:t>
      </w:r>
      <w:r w:rsidR="002F2030" w:rsidRPr="00562834">
        <w:rPr>
          <w:shd w:val="clear" w:color="auto" w:fill="FFFFFF"/>
        </w:rPr>
        <w:t>(2), 767.</w:t>
      </w:r>
    </w:p>
    <w:p w14:paraId="3E5861D4" w14:textId="1EAF6717" w:rsidR="00355FEA" w:rsidRPr="00974DE2" w:rsidRDefault="00355FEA" w:rsidP="005B3402">
      <w:pPr>
        <w:pStyle w:val="NormalWeb"/>
      </w:pPr>
    </w:p>
    <w:sectPr w:rsidR="00355FEA" w:rsidRPr="00974DE2" w:rsidSect="00AA42F2">
      <w:pgSz w:w="11900" w:h="16840"/>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36A6" w14:textId="77777777" w:rsidR="00786B30" w:rsidRDefault="00786B30" w:rsidP="005B3402">
      <w:r>
        <w:separator/>
      </w:r>
    </w:p>
  </w:endnote>
  <w:endnote w:type="continuationSeparator" w:id="0">
    <w:p w14:paraId="498789FE" w14:textId="77777777" w:rsidR="00786B30" w:rsidRDefault="00786B30" w:rsidP="005B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6F0F" w14:textId="77777777" w:rsidR="00786B30" w:rsidRDefault="00786B30" w:rsidP="005B3402">
      <w:r>
        <w:separator/>
      </w:r>
    </w:p>
  </w:footnote>
  <w:footnote w:type="continuationSeparator" w:id="0">
    <w:p w14:paraId="3E0EF2E5" w14:textId="77777777" w:rsidR="00786B30" w:rsidRDefault="00786B30" w:rsidP="005B3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3A5"/>
    <w:multiLevelType w:val="multilevel"/>
    <w:tmpl w:val="CB9CBF7E"/>
    <w:lvl w:ilvl="0">
      <w:start w:val="3"/>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B850546"/>
    <w:multiLevelType w:val="multilevel"/>
    <w:tmpl w:val="0420861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360"/>
      </w:pPr>
      <w:rPr>
        <w:rFonts w:hint="default"/>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3811A83"/>
    <w:multiLevelType w:val="hybridMultilevel"/>
    <w:tmpl w:val="96DABF36"/>
    <w:lvl w:ilvl="0" w:tplc="132E15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5A2B05"/>
    <w:multiLevelType w:val="multilevel"/>
    <w:tmpl w:val="457AE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B171674"/>
    <w:multiLevelType w:val="hybridMultilevel"/>
    <w:tmpl w:val="1916C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E2"/>
    <w:rsid w:val="00014848"/>
    <w:rsid w:val="00027865"/>
    <w:rsid w:val="000377FA"/>
    <w:rsid w:val="00055366"/>
    <w:rsid w:val="00056180"/>
    <w:rsid w:val="0006484B"/>
    <w:rsid w:val="000679A4"/>
    <w:rsid w:val="00070B72"/>
    <w:rsid w:val="00085C3E"/>
    <w:rsid w:val="0009097F"/>
    <w:rsid w:val="000958D5"/>
    <w:rsid w:val="000A5ED3"/>
    <w:rsid w:val="000B4332"/>
    <w:rsid w:val="000B7339"/>
    <w:rsid w:val="000D4EC1"/>
    <w:rsid w:val="000D5720"/>
    <w:rsid w:val="000F25B0"/>
    <w:rsid w:val="000F2DEC"/>
    <w:rsid w:val="00114B9E"/>
    <w:rsid w:val="00116BF7"/>
    <w:rsid w:val="00127F67"/>
    <w:rsid w:val="00136535"/>
    <w:rsid w:val="00144A8B"/>
    <w:rsid w:val="00145D1C"/>
    <w:rsid w:val="001537CA"/>
    <w:rsid w:val="001611E6"/>
    <w:rsid w:val="00164833"/>
    <w:rsid w:val="00164D38"/>
    <w:rsid w:val="00174A49"/>
    <w:rsid w:val="0017546E"/>
    <w:rsid w:val="001801CF"/>
    <w:rsid w:val="00187E4B"/>
    <w:rsid w:val="0019363A"/>
    <w:rsid w:val="0019584A"/>
    <w:rsid w:val="001A05DA"/>
    <w:rsid w:val="001A0ABE"/>
    <w:rsid w:val="001B47BF"/>
    <w:rsid w:val="001B7459"/>
    <w:rsid w:val="001C4170"/>
    <w:rsid w:val="001C57BF"/>
    <w:rsid w:val="001E0FC8"/>
    <w:rsid w:val="001F1ABF"/>
    <w:rsid w:val="001F499A"/>
    <w:rsid w:val="00206126"/>
    <w:rsid w:val="0021458B"/>
    <w:rsid w:val="00215E7A"/>
    <w:rsid w:val="0022681E"/>
    <w:rsid w:val="00226FF7"/>
    <w:rsid w:val="00232BE3"/>
    <w:rsid w:val="00236478"/>
    <w:rsid w:val="00237D5A"/>
    <w:rsid w:val="00255805"/>
    <w:rsid w:val="0026505C"/>
    <w:rsid w:val="00282BA6"/>
    <w:rsid w:val="002B1ABD"/>
    <w:rsid w:val="002B3226"/>
    <w:rsid w:val="002C0073"/>
    <w:rsid w:val="002C6904"/>
    <w:rsid w:val="002D0AD1"/>
    <w:rsid w:val="002D0C68"/>
    <w:rsid w:val="002E5E04"/>
    <w:rsid w:val="002F2030"/>
    <w:rsid w:val="002F7DE2"/>
    <w:rsid w:val="0030451E"/>
    <w:rsid w:val="003207CF"/>
    <w:rsid w:val="0032336D"/>
    <w:rsid w:val="00324BE9"/>
    <w:rsid w:val="00324DEE"/>
    <w:rsid w:val="00344ADD"/>
    <w:rsid w:val="00354C99"/>
    <w:rsid w:val="00355C89"/>
    <w:rsid w:val="00355FEA"/>
    <w:rsid w:val="003615BA"/>
    <w:rsid w:val="003712C2"/>
    <w:rsid w:val="00373363"/>
    <w:rsid w:val="0037726A"/>
    <w:rsid w:val="00385E55"/>
    <w:rsid w:val="00390161"/>
    <w:rsid w:val="003A14ED"/>
    <w:rsid w:val="003A3443"/>
    <w:rsid w:val="003A48B4"/>
    <w:rsid w:val="003A659F"/>
    <w:rsid w:val="003A665E"/>
    <w:rsid w:val="003C3C61"/>
    <w:rsid w:val="003D0DA7"/>
    <w:rsid w:val="003E7B92"/>
    <w:rsid w:val="003F6AAA"/>
    <w:rsid w:val="004011AC"/>
    <w:rsid w:val="004248A7"/>
    <w:rsid w:val="00432845"/>
    <w:rsid w:val="00435244"/>
    <w:rsid w:val="00441BE8"/>
    <w:rsid w:val="004455EA"/>
    <w:rsid w:val="00450C7F"/>
    <w:rsid w:val="004541C0"/>
    <w:rsid w:val="004600F3"/>
    <w:rsid w:val="00460C6B"/>
    <w:rsid w:val="00465318"/>
    <w:rsid w:val="00466D37"/>
    <w:rsid w:val="00486C31"/>
    <w:rsid w:val="00494733"/>
    <w:rsid w:val="004A0548"/>
    <w:rsid w:val="004D7046"/>
    <w:rsid w:val="004F12B1"/>
    <w:rsid w:val="004F5912"/>
    <w:rsid w:val="0050167B"/>
    <w:rsid w:val="005145AE"/>
    <w:rsid w:val="0051645D"/>
    <w:rsid w:val="00520A07"/>
    <w:rsid w:val="00527FA1"/>
    <w:rsid w:val="00537D07"/>
    <w:rsid w:val="005453E1"/>
    <w:rsid w:val="005572F3"/>
    <w:rsid w:val="00562834"/>
    <w:rsid w:val="0056681B"/>
    <w:rsid w:val="00566A41"/>
    <w:rsid w:val="0057404B"/>
    <w:rsid w:val="00586596"/>
    <w:rsid w:val="00592BFF"/>
    <w:rsid w:val="005B3402"/>
    <w:rsid w:val="005B67CB"/>
    <w:rsid w:val="005C0BE0"/>
    <w:rsid w:val="005C2DF5"/>
    <w:rsid w:val="005C5E72"/>
    <w:rsid w:val="005C78F5"/>
    <w:rsid w:val="005C7A1D"/>
    <w:rsid w:val="005D270B"/>
    <w:rsid w:val="005D6057"/>
    <w:rsid w:val="005E5E1A"/>
    <w:rsid w:val="005F3413"/>
    <w:rsid w:val="005F4B70"/>
    <w:rsid w:val="005F50A0"/>
    <w:rsid w:val="005F5649"/>
    <w:rsid w:val="005F7D61"/>
    <w:rsid w:val="00630B51"/>
    <w:rsid w:val="00641F50"/>
    <w:rsid w:val="00651C3F"/>
    <w:rsid w:val="006672E2"/>
    <w:rsid w:val="00670CAA"/>
    <w:rsid w:val="00672300"/>
    <w:rsid w:val="00673206"/>
    <w:rsid w:val="0067449E"/>
    <w:rsid w:val="0067495F"/>
    <w:rsid w:val="006A0D38"/>
    <w:rsid w:val="006A1494"/>
    <w:rsid w:val="006A7185"/>
    <w:rsid w:val="006B4114"/>
    <w:rsid w:val="006C308D"/>
    <w:rsid w:val="006C3BCC"/>
    <w:rsid w:val="006E4221"/>
    <w:rsid w:val="006F0BC2"/>
    <w:rsid w:val="006F5287"/>
    <w:rsid w:val="00723D2D"/>
    <w:rsid w:val="00734984"/>
    <w:rsid w:val="00747055"/>
    <w:rsid w:val="007501E5"/>
    <w:rsid w:val="007534C7"/>
    <w:rsid w:val="00756330"/>
    <w:rsid w:val="0076033C"/>
    <w:rsid w:val="007703F4"/>
    <w:rsid w:val="00786B30"/>
    <w:rsid w:val="007A21F9"/>
    <w:rsid w:val="007A718B"/>
    <w:rsid w:val="007B023F"/>
    <w:rsid w:val="007B073F"/>
    <w:rsid w:val="007B18C0"/>
    <w:rsid w:val="007C12D8"/>
    <w:rsid w:val="007D0A49"/>
    <w:rsid w:val="007E0F90"/>
    <w:rsid w:val="007E2A18"/>
    <w:rsid w:val="007E697A"/>
    <w:rsid w:val="007F1E7B"/>
    <w:rsid w:val="007F3063"/>
    <w:rsid w:val="008015BF"/>
    <w:rsid w:val="00803F63"/>
    <w:rsid w:val="008066B4"/>
    <w:rsid w:val="00810F03"/>
    <w:rsid w:val="00817EEB"/>
    <w:rsid w:val="008310BC"/>
    <w:rsid w:val="00851497"/>
    <w:rsid w:val="0085590A"/>
    <w:rsid w:val="00862BC3"/>
    <w:rsid w:val="00862E33"/>
    <w:rsid w:val="00863E53"/>
    <w:rsid w:val="00875B94"/>
    <w:rsid w:val="00877ACD"/>
    <w:rsid w:val="00882C82"/>
    <w:rsid w:val="00892B40"/>
    <w:rsid w:val="008B76A6"/>
    <w:rsid w:val="008C4F3A"/>
    <w:rsid w:val="008C7275"/>
    <w:rsid w:val="008D676B"/>
    <w:rsid w:val="008D7E6E"/>
    <w:rsid w:val="008D7F11"/>
    <w:rsid w:val="008E00B7"/>
    <w:rsid w:val="008E542F"/>
    <w:rsid w:val="008F267C"/>
    <w:rsid w:val="009015A9"/>
    <w:rsid w:val="00901AFC"/>
    <w:rsid w:val="00911E59"/>
    <w:rsid w:val="009139B6"/>
    <w:rsid w:val="00922C29"/>
    <w:rsid w:val="009408EC"/>
    <w:rsid w:val="0096421C"/>
    <w:rsid w:val="009704A8"/>
    <w:rsid w:val="009713D6"/>
    <w:rsid w:val="009719F0"/>
    <w:rsid w:val="00972AD7"/>
    <w:rsid w:val="00974DE2"/>
    <w:rsid w:val="009A6112"/>
    <w:rsid w:val="009B7ACF"/>
    <w:rsid w:val="009C2421"/>
    <w:rsid w:val="009D3011"/>
    <w:rsid w:val="009D744C"/>
    <w:rsid w:val="009E0DAF"/>
    <w:rsid w:val="009F0EB2"/>
    <w:rsid w:val="00A0185E"/>
    <w:rsid w:val="00A02B43"/>
    <w:rsid w:val="00A10091"/>
    <w:rsid w:val="00A140F7"/>
    <w:rsid w:val="00A204BC"/>
    <w:rsid w:val="00A21631"/>
    <w:rsid w:val="00A33CA4"/>
    <w:rsid w:val="00A36305"/>
    <w:rsid w:val="00A4185C"/>
    <w:rsid w:val="00A4228C"/>
    <w:rsid w:val="00A43629"/>
    <w:rsid w:val="00A43E8A"/>
    <w:rsid w:val="00A622AD"/>
    <w:rsid w:val="00A62472"/>
    <w:rsid w:val="00A75C34"/>
    <w:rsid w:val="00A85677"/>
    <w:rsid w:val="00AA2AD1"/>
    <w:rsid w:val="00AA42F2"/>
    <w:rsid w:val="00AA7A20"/>
    <w:rsid w:val="00AB5214"/>
    <w:rsid w:val="00AC0051"/>
    <w:rsid w:val="00AC14AE"/>
    <w:rsid w:val="00AC43A3"/>
    <w:rsid w:val="00AD3F3F"/>
    <w:rsid w:val="00AD66B2"/>
    <w:rsid w:val="00AD66C1"/>
    <w:rsid w:val="00AF0E7D"/>
    <w:rsid w:val="00AF32D2"/>
    <w:rsid w:val="00B030DC"/>
    <w:rsid w:val="00B14CA5"/>
    <w:rsid w:val="00B163CC"/>
    <w:rsid w:val="00B376D9"/>
    <w:rsid w:val="00B44B95"/>
    <w:rsid w:val="00B611CB"/>
    <w:rsid w:val="00B713BD"/>
    <w:rsid w:val="00B717FA"/>
    <w:rsid w:val="00B74652"/>
    <w:rsid w:val="00B751F3"/>
    <w:rsid w:val="00B82BC3"/>
    <w:rsid w:val="00B97734"/>
    <w:rsid w:val="00BA27E7"/>
    <w:rsid w:val="00BB2137"/>
    <w:rsid w:val="00BB57F3"/>
    <w:rsid w:val="00BC3A62"/>
    <w:rsid w:val="00BC5461"/>
    <w:rsid w:val="00BD30E0"/>
    <w:rsid w:val="00BF084A"/>
    <w:rsid w:val="00BF7C67"/>
    <w:rsid w:val="00C023E3"/>
    <w:rsid w:val="00C04F5A"/>
    <w:rsid w:val="00C06E8E"/>
    <w:rsid w:val="00C10E55"/>
    <w:rsid w:val="00C11CE4"/>
    <w:rsid w:val="00C11ED7"/>
    <w:rsid w:val="00C13DA8"/>
    <w:rsid w:val="00C17578"/>
    <w:rsid w:val="00C43AE6"/>
    <w:rsid w:val="00C46697"/>
    <w:rsid w:val="00C54055"/>
    <w:rsid w:val="00C71862"/>
    <w:rsid w:val="00C870B1"/>
    <w:rsid w:val="00C8768A"/>
    <w:rsid w:val="00C91464"/>
    <w:rsid w:val="00C91824"/>
    <w:rsid w:val="00C9295B"/>
    <w:rsid w:val="00CB020B"/>
    <w:rsid w:val="00CB786F"/>
    <w:rsid w:val="00CC1944"/>
    <w:rsid w:val="00CC2E66"/>
    <w:rsid w:val="00CD0D13"/>
    <w:rsid w:val="00CD1C11"/>
    <w:rsid w:val="00D01396"/>
    <w:rsid w:val="00D0313E"/>
    <w:rsid w:val="00D057EF"/>
    <w:rsid w:val="00D113FC"/>
    <w:rsid w:val="00D16BEA"/>
    <w:rsid w:val="00D274C0"/>
    <w:rsid w:val="00D33C46"/>
    <w:rsid w:val="00D41CA9"/>
    <w:rsid w:val="00D50C6A"/>
    <w:rsid w:val="00D618EF"/>
    <w:rsid w:val="00D931F5"/>
    <w:rsid w:val="00DB3F4F"/>
    <w:rsid w:val="00DB49EB"/>
    <w:rsid w:val="00DB55EE"/>
    <w:rsid w:val="00DC107B"/>
    <w:rsid w:val="00DC108B"/>
    <w:rsid w:val="00DC3CE4"/>
    <w:rsid w:val="00DD0835"/>
    <w:rsid w:val="00DD2E8F"/>
    <w:rsid w:val="00E000C3"/>
    <w:rsid w:val="00E02B8D"/>
    <w:rsid w:val="00E03774"/>
    <w:rsid w:val="00E11327"/>
    <w:rsid w:val="00E319B4"/>
    <w:rsid w:val="00E32179"/>
    <w:rsid w:val="00E32396"/>
    <w:rsid w:val="00E53801"/>
    <w:rsid w:val="00E53C57"/>
    <w:rsid w:val="00E54B2E"/>
    <w:rsid w:val="00E623C0"/>
    <w:rsid w:val="00E72B87"/>
    <w:rsid w:val="00E761C5"/>
    <w:rsid w:val="00E97260"/>
    <w:rsid w:val="00EB09FB"/>
    <w:rsid w:val="00EC461D"/>
    <w:rsid w:val="00ED382B"/>
    <w:rsid w:val="00EE528D"/>
    <w:rsid w:val="00EE678D"/>
    <w:rsid w:val="00EF1A9D"/>
    <w:rsid w:val="00EF4322"/>
    <w:rsid w:val="00EF632D"/>
    <w:rsid w:val="00F4035D"/>
    <w:rsid w:val="00F655AD"/>
    <w:rsid w:val="00F71576"/>
    <w:rsid w:val="00F717F1"/>
    <w:rsid w:val="00F7194B"/>
    <w:rsid w:val="00F74636"/>
    <w:rsid w:val="00F771A4"/>
    <w:rsid w:val="00FA1513"/>
    <w:rsid w:val="00FA4AD1"/>
    <w:rsid w:val="00FB7092"/>
    <w:rsid w:val="00FD40F1"/>
    <w:rsid w:val="00FE2DFC"/>
    <w:rsid w:val="00FF1822"/>
    <w:rsid w:val="00FF7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527A"/>
  <w15:chartTrackingRefBased/>
  <w15:docId w15:val="{1E41FC67-0657-974A-9A79-4B077081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402"/>
    <w:pPr>
      <w:spacing w:before="100" w:beforeAutospacing="1" w:after="100" w:afterAutospacing="1" w:line="480" w:lineRule="auto"/>
      <w:jc w:val="both"/>
    </w:pPr>
    <w:rPr>
      <w:rFonts w:ascii="Times New Roman" w:eastAsia="Calibri" w:hAnsi="Times New Roman" w:cs="Times New Roman"/>
      <w:color w:val="000000" w:themeColor="text1"/>
      <w:lang w:val="en-GB" w:eastAsia="tr-TR"/>
    </w:rPr>
  </w:style>
  <w:style w:type="paragraph" w:styleId="Heading1">
    <w:name w:val="heading 1"/>
    <w:basedOn w:val="Normal"/>
    <w:next w:val="Normal"/>
    <w:link w:val="Heading1Char"/>
    <w:uiPriority w:val="9"/>
    <w:qFormat/>
    <w:rsid w:val="001B47BF"/>
    <w:pPr>
      <w:keepNext/>
      <w:keepLines/>
      <w:numPr>
        <w:numId w:val="1"/>
      </w:numPr>
      <w:spacing w:before="240" w:after="240" w:line="259" w:lineRule="auto"/>
      <w:outlineLvl w:val="0"/>
    </w:pPr>
    <w:rPr>
      <w:rFonts w:eastAsiaTheme="majorEastAsia"/>
      <w:b/>
      <w:bCs/>
      <w:lang w:val="en-US" w:eastAsia="en-US"/>
    </w:rPr>
  </w:style>
  <w:style w:type="paragraph" w:styleId="Heading2">
    <w:name w:val="heading 2"/>
    <w:basedOn w:val="ListParagraph"/>
    <w:next w:val="Normal"/>
    <w:link w:val="Heading2Char"/>
    <w:uiPriority w:val="9"/>
    <w:unhideWhenUsed/>
    <w:qFormat/>
    <w:rsid w:val="001B47BF"/>
    <w:pPr>
      <w:numPr>
        <w:ilvl w:val="1"/>
        <w:numId w:val="1"/>
      </w:numPr>
      <w:outlineLvl w:val="1"/>
    </w:pPr>
    <w:rPr>
      <w:b/>
    </w:rPr>
  </w:style>
  <w:style w:type="paragraph" w:styleId="Heading3">
    <w:name w:val="heading 3"/>
    <w:basedOn w:val="ListParagraph"/>
    <w:next w:val="Normal"/>
    <w:link w:val="Heading3Char"/>
    <w:uiPriority w:val="9"/>
    <w:unhideWhenUsed/>
    <w:qFormat/>
    <w:rsid w:val="001B47BF"/>
    <w:pPr>
      <w:numPr>
        <w:ilvl w:val="2"/>
        <w:numId w:val="1"/>
      </w:numPr>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7BF"/>
    <w:rPr>
      <w:rFonts w:ascii="Times New Roman" w:eastAsiaTheme="majorEastAsia" w:hAnsi="Times New Roman" w:cs="Times New Roman"/>
      <w:b/>
      <w:bCs/>
      <w:color w:val="000000" w:themeColor="text1"/>
      <w:lang w:val="en-US"/>
    </w:rPr>
  </w:style>
  <w:style w:type="character" w:styleId="CommentReference">
    <w:name w:val="annotation reference"/>
    <w:basedOn w:val="DefaultParagraphFont"/>
    <w:uiPriority w:val="99"/>
    <w:semiHidden/>
    <w:unhideWhenUsed/>
    <w:rsid w:val="00974DE2"/>
    <w:rPr>
      <w:sz w:val="18"/>
      <w:szCs w:val="18"/>
    </w:rPr>
  </w:style>
  <w:style w:type="paragraph" w:styleId="CommentText">
    <w:name w:val="annotation text"/>
    <w:basedOn w:val="Normal"/>
    <w:link w:val="CommentTextChar"/>
    <w:uiPriority w:val="99"/>
    <w:unhideWhenUsed/>
    <w:rsid w:val="00974DE2"/>
    <w:pPr>
      <w:spacing w:line="240" w:lineRule="auto"/>
    </w:pPr>
  </w:style>
  <w:style w:type="character" w:customStyle="1" w:styleId="CommentTextChar">
    <w:name w:val="Comment Text Char"/>
    <w:basedOn w:val="DefaultParagraphFont"/>
    <w:link w:val="CommentText"/>
    <w:uiPriority w:val="99"/>
    <w:rsid w:val="00974DE2"/>
    <w:rPr>
      <w:lang w:val="en-US"/>
    </w:rPr>
  </w:style>
  <w:style w:type="paragraph" w:styleId="BalloonText">
    <w:name w:val="Balloon Text"/>
    <w:basedOn w:val="Normal"/>
    <w:link w:val="BalloonTextChar"/>
    <w:uiPriority w:val="99"/>
    <w:semiHidden/>
    <w:unhideWhenUsed/>
    <w:rsid w:val="00974DE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74DE2"/>
    <w:rPr>
      <w:rFonts w:ascii="Times New Roman" w:hAnsi="Times New Roman" w:cs="Times New Roman"/>
      <w:sz w:val="18"/>
      <w:szCs w:val="18"/>
      <w:lang w:val="en-US"/>
    </w:rPr>
  </w:style>
  <w:style w:type="paragraph" w:styleId="ListParagraph">
    <w:name w:val="List Paragraph"/>
    <w:basedOn w:val="Normal"/>
    <w:uiPriority w:val="34"/>
    <w:qFormat/>
    <w:rsid w:val="00974DE2"/>
    <w:pPr>
      <w:ind w:left="720"/>
      <w:contextualSpacing/>
    </w:pPr>
  </w:style>
  <w:style w:type="paragraph" w:styleId="NormalWeb">
    <w:name w:val="Normal (Web)"/>
    <w:basedOn w:val="Normal"/>
    <w:uiPriority w:val="99"/>
    <w:unhideWhenUsed/>
    <w:rsid w:val="00B751F3"/>
    <w:pPr>
      <w:spacing w:line="240" w:lineRule="auto"/>
    </w:pPr>
    <w:rPr>
      <w:rFonts w:eastAsia="Times New Roman"/>
      <w:lang w:val="tr-TR"/>
    </w:rPr>
  </w:style>
  <w:style w:type="character" w:customStyle="1" w:styleId="apple-converted-space">
    <w:name w:val="apple-converted-space"/>
    <w:basedOn w:val="DefaultParagraphFont"/>
    <w:rsid w:val="00CB020B"/>
  </w:style>
  <w:style w:type="paragraph" w:styleId="Header">
    <w:name w:val="header"/>
    <w:basedOn w:val="Normal"/>
    <w:link w:val="HeaderChar"/>
    <w:uiPriority w:val="99"/>
    <w:unhideWhenUsed/>
    <w:rsid w:val="008E00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00B7"/>
    <w:rPr>
      <w:sz w:val="22"/>
      <w:szCs w:val="22"/>
      <w:lang w:val="en-US"/>
    </w:rPr>
  </w:style>
  <w:style w:type="paragraph" w:styleId="Footer">
    <w:name w:val="footer"/>
    <w:basedOn w:val="Normal"/>
    <w:link w:val="FooterChar"/>
    <w:uiPriority w:val="99"/>
    <w:unhideWhenUsed/>
    <w:rsid w:val="008E00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00B7"/>
    <w:rPr>
      <w:sz w:val="22"/>
      <w:szCs w:val="22"/>
      <w:lang w:val="en-US"/>
    </w:rPr>
  </w:style>
  <w:style w:type="character" w:styleId="Hyperlink">
    <w:name w:val="Hyperlink"/>
    <w:basedOn w:val="DefaultParagraphFont"/>
    <w:uiPriority w:val="99"/>
    <w:unhideWhenUsed/>
    <w:rsid w:val="00672300"/>
    <w:rPr>
      <w:color w:val="0563C1" w:themeColor="hyperlink"/>
      <w:u w:val="single"/>
    </w:rPr>
  </w:style>
  <w:style w:type="character" w:styleId="UnresolvedMention">
    <w:name w:val="Unresolved Mention"/>
    <w:basedOn w:val="DefaultParagraphFont"/>
    <w:uiPriority w:val="99"/>
    <w:semiHidden/>
    <w:unhideWhenUsed/>
    <w:rsid w:val="0067230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011AC"/>
    <w:rPr>
      <w:b/>
      <w:bCs/>
      <w:sz w:val="20"/>
      <w:szCs w:val="20"/>
    </w:rPr>
  </w:style>
  <w:style w:type="character" w:customStyle="1" w:styleId="CommentSubjectChar">
    <w:name w:val="Comment Subject Char"/>
    <w:basedOn w:val="CommentTextChar"/>
    <w:link w:val="CommentSubject"/>
    <w:uiPriority w:val="99"/>
    <w:semiHidden/>
    <w:rsid w:val="004011AC"/>
    <w:rPr>
      <w:b/>
      <w:bCs/>
      <w:sz w:val="20"/>
      <w:szCs w:val="20"/>
      <w:lang w:val="en-US"/>
    </w:rPr>
  </w:style>
  <w:style w:type="table" w:styleId="TableGrid">
    <w:name w:val="Table Grid"/>
    <w:basedOn w:val="TableNormal"/>
    <w:uiPriority w:val="39"/>
    <w:rsid w:val="0048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B76A6"/>
    <w:pPr>
      <w:spacing w:after="200" w:line="240" w:lineRule="auto"/>
    </w:pPr>
    <w:rPr>
      <w:i/>
      <w:iCs/>
      <w:color w:val="44546A" w:themeColor="text2"/>
      <w:sz w:val="18"/>
      <w:szCs w:val="18"/>
    </w:rPr>
  </w:style>
  <w:style w:type="character" w:customStyle="1" w:styleId="title-text">
    <w:name w:val="title-text"/>
    <w:basedOn w:val="DefaultParagraphFont"/>
    <w:rsid w:val="000A5ED3"/>
  </w:style>
  <w:style w:type="character" w:styleId="PlaceholderText">
    <w:name w:val="Placeholder Text"/>
    <w:basedOn w:val="DefaultParagraphFont"/>
    <w:uiPriority w:val="99"/>
    <w:semiHidden/>
    <w:rsid w:val="002D0C68"/>
    <w:rPr>
      <w:color w:val="808080"/>
    </w:rPr>
  </w:style>
  <w:style w:type="character" w:customStyle="1" w:styleId="Heading2Char">
    <w:name w:val="Heading 2 Char"/>
    <w:basedOn w:val="DefaultParagraphFont"/>
    <w:link w:val="Heading2"/>
    <w:uiPriority w:val="9"/>
    <w:rsid w:val="001B47BF"/>
    <w:rPr>
      <w:rFonts w:ascii="Times New Roman" w:hAnsi="Times New Roman" w:cs="Times New Roman"/>
      <w:b/>
      <w:color w:val="000000" w:themeColor="text1"/>
      <w:lang w:val="en-GB"/>
    </w:rPr>
  </w:style>
  <w:style w:type="character" w:styleId="Emphasis">
    <w:name w:val="Emphasis"/>
    <w:basedOn w:val="DefaultParagraphFont"/>
    <w:uiPriority w:val="20"/>
    <w:qFormat/>
    <w:rsid w:val="00566A41"/>
    <w:rPr>
      <w:i/>
      <w:iCs/>
    </w:rPr>
  </w:style>
  <w:style w:type="character" w:customStyle="1" w:styleId="Heading3Char">
    <w:name w:val="Heading 3 Char"/>
    <w:basedOn w:val="DefaultParagraphFont"/>
    <w:link w:val="Heading3"/>
    <w:uiPriority w:val="9"/>
    <w:rsid w:val="001B47BF"/>
    <w:rPr>
      <w:rFonts w:ascii="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728">
      <w:bodyDiv w:val="1"/>
      <w:marLeft w:val="0"/>
      <w:marRight w:val="0"/>
      <w:marTop w:val="0"/>
      <w:marBottom w:val="0"/>
      <w:divBdr>
        <w:top w:val="none" w:sz="0" w:space="0" w:color="auto"/>
        <w:left w:val="none" w:sz="0" w:space="0" w:color="auto"/>
        <w:bottom w:val="none" w:sz="0" w:space="0" w:color="auto"/>
        <w:right w:val="none" w:sz="0" w:space="0" w:color="auto"/>
      </w:divBdr>
    </w:div>
    <w:div w:id="78447738">
      <w:bodyDiv w:val="1"/>
      <w:marLeft w:val="0"/>
      <w:marRight w:val="0"/>
      <w:marTop w:val="0"/>
      <w:marBottom w:val="0"/>
      <w:divBdr>
        <w:top w:val="none" w:sz="0" w:space="0" w:color="auto"/>
        <w:left w:val="none" w:sz="0" w:space="0" w:color="auto"/>
        <w:bottom w:val="none" w:sz="0" w:space="0" w:color="auto"/>
        <w:right w:val="none" w:sz="0" w:space="0" w:color="auto"/>
      </w:divBdr>
      <w:divsChild>
        <w:div w:id="1059520852">
          <w:marLeft w:val="0"/>
          <w:marRight w:val="0"/>
          <w:marTop w:val="0"/>
          <w:marBottom w:val="0"/>
          <w:divBdr>
            <w:top w:val="none" w:sz="0" w:space="0" w:color="auto"/>
            <w:left w:val="none" w:sz="0" w:space="0" w:color="auto"/>
            <w:bottom w:val="none" w:sz="0" w:space="0" w:color="auto"/>
            <w:right w:val="none" w:sz="0" w:space="0" w:color="auto"/>
          </w:divBdr>
          <w:divsChild>
            <w:div w:id="180778674">
              <w:marLeft w:val="0"/>
              <w:marRight w:val="0"/>
              <w:marTop w:val="0"/>
              <w:marBottom w:val="0"/>
              <w:divBdr>
                <w:top w:val="none" w:sz="0" w:space="0" w:color="auto"/>
                <w:left w:val="none" w:sz="0" w:space="0" w:color="auto"/>
                <w:bottom w:val="none" w:sz="0" w:space="0" w:color="auto"/>
                <w:right w:val="none" w:sz="0" w:space="0" w:color="auto"/>
              </w:divBdr>
              <w:divsChild>
                <w:div w:id="43212930">
                  <w:marLeft w:val="0"/>
                  <w:marRight w:val="0"/>
                  <w:marTop w:val="0"/>
                  <w:marBottom w:val="0"/>
                  <w:divBdr>
                    <w:top w:val="none" w:sz="0" w:space="0" w:color="auto"/>
                    <w:left w:val="none" w:sz="0" w:space="0" w:color="auto"/>
                    <w:bottom w:val="none" w:sz="0" w:space="0" w:color="auto"/>
                    <w:right w:val="none" w:sz="0" w:space="0" w:color="auto"/>
                  </w:divBdr>
                  <w:divsChild>
                    <w:div w:id="53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6325">
      <w:bodyDiv w:val="1"/>
      <w:marLeft w:val="0"/>
      <w:marRight w:val="0"/>
      <w:marTop w:val="0"/>
      <w:marBottom w:val="0"/>
      <w:divBdr>
        <w:top w:val="none" w:sz="0" w:space="0" w:color="auto"/>
        <w:left w:val="none" w:sz="0" w:space="0" w:color="auto"/>
        <w:bottom w:val="none" w:sz="0" w:space="0" w:color="auto"/>
        <w:right w:val="none" w:sz="0" w:space="0" w:color="auto"/>
      </w:divBdr>
    </w:div>
    <w:div w:id="317535430">
      <w:bodyDiv w:val="1"/>
      <w:marLeft w:val="0"/>
      <w:marRight w:val="0"/>
      <w:marTop w:val="0"/>
      <w:marBottom w:val="0"/>
      <w:divBdr>
        <w:top w:val="none" w:sz="0" w:space="0" w:color="auto"/>
        <w:left w:val="none" w:sz="0" w:space="0" w:color="auto"/>
        <w:bottom w:val="none" w:sz="0" w:space="0" w:color="auto"/>
        <w:right w:val="none" w:sz="0" w:space="0" w:color="auto"/>
      </w:divBdr>
      <w:divsChild>
        <w:div w:id="1997756012">
          <w:marLeft w:val="0"/>
          <w:marRight w:val="0"/>
          <w:marTop w:val="0"/>
          <w:marBottom w:val="0"/>
          <w:divBdr>
            <w:top w:val="none" w:sz="0" w:space="0" w:color="auto"/>
            <w:left w:val="none" w:sz="0" w:space="0" w:color="auto"/>
            <w:bottom w:val="none" w:sz="0" w:space="0" w:color="auto"/>
            <w:right w:val="none" w:sz="0" w:space="0" w:color="auto"/>
          </w:divBdr>
        </w:div>
      </w:divsChild>
    </w:div>
    <w:div w:id="362245011">
      <w:bodyDiv w:val="1"/>
      <w:marLeft w:val="0"/>
      <w:marRight w:val="0"/>
      <w:marTop w:val="0"/>
      <w:marBottom w:val="0"/>
      <w:divBdr>
        <w:top w:val="none" w:sz="0" w:space="0" w:color="auto"/>
        <w:left w:val="none" w:sz="0" w:space="0" w:color="auto"/>
        <w:bottom w:val="none" w:sz="0" w:space="0" w:color="auto"/>
        <w:right w:val="none" w:sz="0" w:space="0" w:color="auto"/>
      </w:divBdr>
      <w:divsChild>
        <w:div w:id="1513258904">
          <w:marLeft w:val="0"/>
          <w:marRight w:val="0"/>
          <w:marTop w:val="0"/>
          <w:marBottom w:val="0"/>
          <w:divBdr>
            <w:top w:val="none" w:sz="0" w:space="0" w:color="auto"/>
            <w:left w:val="none" w:sz="0" w:space="0" w:color="auto"/>
            <w:bottom w:val="none" w:sz="0" w:space="0" w:color="auto"/>
            <w:right w:val="none" w:sz="0" w:space="0" w:color="auto"/>
          </w:divBdr>
          <w:divsChild>
            <w:div w:id="2056924632">
              <w:marLeft w:val="0"/>
              <w:marRight w:val="0"/>
              <w:marTop w:val="0"/>
              <w:marBottom w:val="0"/>
              <w:divBdr>
                <w:top w:val="none" w:sz="0" w:space="0" w:color="auto"/>
                <w:left w:val="none" w:sz="0" w:space="0" w:color="auto"/>
                <w:bottom w:val="none" w:sz="0" w:space="0" w:color="auto"/>
                <w:right w:val="none" w:sz="0" w:space="0" w:color="auto"/>
              </w:divBdr>
              <w:divsChild>
                <w:div w:id="756361032">
                  <w:marLeft w:val="0"/>
                  <w:marRight w:val="0"/>
                  <w:marTop w:val="0"/>
                  <w:marBottom w:val="0"/>
                  <w:divBdr>
                    <w:top w:val="none" w:sz="0" w:space="0" w:color="auto"/>
                    <w:left w:val="none" w:sz="0" w:space="0" w:color="auto"/>
                    <w:bottom w:val="none" w:sz="0" w:space="0" w:color="auto"/>
                    <w:right w:val="none" w:sz="0" w:space="0" w:color="auto"/>
                  </w:divBdr>
                  <w:divsChild>
                    <w:div w:id="1166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5633">
      <w:bodyDiv w:val="1"/>
      <w:marLeft w:val="0"/>
      <w:marRight w:val="0"/>
      <w:marTop w:val="0"/>
      <w:marBottom w:val="0"/>
      <w:divBdr>
        <w:top w:val="none" w:sz="0" w:space="0" w:color="auto"/>
        <w:left w:val="none" w:sz="0" w:space="0" w:color="auto"/>
        <w:bottom w:val="none" w:sz="0" w:space="0" w:color="auto"/>
        <w:right w:val="none" w:sz="0" w:space="0" w:color="auto"/>
      </w:divBdr>
    </w:div>
    <w:div w:id="517157807">
      <w:bodyDiv w:val="1"/>
      <w:marLeft w:val="0"/>
      <w:marRight w:val="0"/>
      <w:marTop w:val="0"/>
      <w:marBottom w:val="0"/>
      <w:divBdr>
        <w:top w:val="none" w:sz="0" w:space="0" w:color="auto"/>
        <w:left w:val="none" w:sz="0" w:space="0" w:color="auto"/>
        <w:bottom w:val="none" w:sz="0" w:space="0" w:color="auto"/>
        <w:right w:val="none" w:sz="0" w:space="0" w:color="auto"/>
      </w:divBdr>
    </w:div>
    <w:div w:id="549730748">
      <w:bodyDiv w:val="1"/>
      <w:marLeft w:val="0"/>
      <w:marRight w:val="0"/>
      <w:marTop w:val="0"/>
      <w:marBottom w:val="0"/>
      <w:divBdr>
        <w:top w:val="none" w:sz="0" w:space="0" w:color="auto"/>
        <w:left w:val="none" w:sz="0" w:space="0" w:color="auto"/>
        <w:bottom w:val="none" w:sz="0" w:space="0" w:color="auto"/>
        <w:right w:val="none" w:sz="0" w:space="0" w:color="auto"/>
      </w:divBdr>
    </w:div>
    <w:div w:id="558326104">
      <w:bodyDiv w:val="1"/>
      <w:marLeft w:val="0"/>
      <w:marRight w:val="0"/>
      <w:marTop w:val="0"/>
      <w:marBottom w:val="0"/>
      <w:divBdr>
        <w:top w:val="none" w:sz="0" w:space="0" w:color="auto"/>
        <w:left w:val="none" w:sz="0" w:space="0" w:color="auto"/>
        <w:bottom w:val="none" w:sz="0" w:space="0" w:color="auto"/>
        <w:right w:val="none" w:sz="0" w:space="0" w:color="auto"/>
      </w:divBdr>
      <w:divsChild>
        <w:div w:id="665015936">
          <w:marLeft w:val="0"/>
          <w:marRight w:val="0"/>
          <w:marTop w:val="0"/>
          <w:marBottom w:val="0"/>
          <w:divBdr>
            <w:top w:val="none" w:sz="0" w:space="0" w:color="auto"/>
            <w:left w:val="none" w:sz="0" w:space="0" w:color="auto"/>
            <w:bottom w:val="none" w:sz="0" w:space="0" w:color="auto"/>
            <w:right w:val="none" w:sz="0" w:space="0" w:color="auto"/>
          </w:divBdr>
          <w:divsChild>
            <w:div w:id="1700356401">
              <w:marLeft w:val="0"/>
              <w:marRight w:val="0"/>
              <w:marTop w:val="0"/>
              <w:marBottom w:val="0"/>
              <w:divBdr>
                <w:top w:val="none" w:sz="0" w:space="0" w:color="auto"/>
                <w:left w:val="none" w:sz="0" w:space="0" w:color="auto"/>
                <w:bottom w:val="none" w:sz="0" w:space="0" w:color="auto"/>
                <w:right w:val="none" w:sz="0" w:space="0" w:color="auto"/>
              </w:divBdr>
              <w:divsChild>
                <w:div w:id="2003043104">
                  <w:marLeft w:val="0"/>
                  <w:marRight w:val="0"/>
                  <w:marTop w:val="0"/>
                  <w:marBottom w:val="0"/>
                  <w:divBdr>
                    <w:top w:val="none" w:sz="0" w:space="0" w:color="auto"/>
                    <w:left w:val="none" w:sz="0" w:space="0" w:color="auto"/>
                    <w:bottom w:val="none" w:sz="0" w:space="0" w:color="auto"/>
                    <w:right w:val="none" w:sz="0" w:space="0" w:color="auto"/>
                  </w:divBdr>
                  <w:divsChild>
                    <w:div w:id="5569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5855">
      <w:bodyDiv w:val="1"/>
      <w:marLeft w:val="0"/>
      <w:marRight w:val="0"/>
      <w:marTop w:val="0"/>
      <w:marBottom w:val="0"/>
      <w:divBdr>
        <w:top w:val="none" w:sz="0" w:space="0" w:color="auto"/>
        <w:left w:val="none" w:sz="0" w:space="0" w:color="auto"/>
        <w:bottom w:val="none" w:sz="0" w:space="0" w:color="auto"/>
        <w:right w:val="none" w:sz="0" w:space="0" w:color="auto"/>
      </w:divBdr>
    </w:div>
    <w:div w:id="682249664">
      <w:bodyDiv w:val="1"/>
      <w:marLeft w:val="0"/>
      <w:marRight w:val="0"/>
      <w:marTop w:val="0"/>
      <w:marBottom w:val="0"/>
      <w:divBdr>
        <w:top w:val="none" w:sz="0" w:space="0" w:color="auto"/>
        <w:left w:val="none" w:sz="0" w:space="0" w:color="auto"/>
        <w:bottom w:val="none" w:sz="0" w:space="0" w:color="auto"/>
        <w:right w:val="none" w:sz="0" w:space="0" w:color="auto"/>
      </w:divBdr>
      <w:divsChild>
        <w:div w:id="1887259531">
          <w:marLeft w:val="0"/>
          <w:marRight w:val="0"/>
          <w:marTop w:val="0"/>
          <w:marBottom w:val="0"/>
          <w:divBdr>
            <w:top w:val="none" w:sz="0" w:space="0" w:color="auto"/>
            <w:left w:val="none" w:sz="0" w:space="0" w:color="auto"/>
            <w:bottom w:val="none" w:sz="0" w:space="0" w:color="auto"/>
            <w:right w:val="none" w:sz="0" w:space="0" w:color="auto"/>
          </w:divBdr>
        </w:div>
      </w:divsChild>
    </w:div>
    <w:div w:id="862867389">
      <w:bodyDiv w:val="1"/>
      <w:marLeft w:val="0"/>
      <w:marRight w:val="0"/>
      <w:marTop w:val="0"/>
      <w:marBottom w:val="0"/>
      <w:divBdr>
        <w:top w:val="none" w:sz="0" w:space="0" w:color="auto"/>
        <w:left w:val="none" w:sz="0" w:space="0" w:color="auto"/>
        <w:bottom w:val="none" w:sz="0" w:space="0" w:color="auto"/>
        <w:right w:val="none" w:sz="0" w:space="0" w:color="auto"/>
      </w:divBdr>
    </w:div>
    <w:div w:id="937831795">
      <w:bodyDiv w:val="1"/>
      <w:marLeft w:val="0"/>
      <w:marRight w:val="0"/>
      <w:marTop w:val="0"/>
      <w:marBottom w:val="0"/>
      <w:divBdr>
        <w:top w:val="none" w:sz="0" w:space="0" w:color="auto"/>
        <w:left w:val="none" w:sz="0" w:space="0" w:color="auto"/>
        <w:bottom w:val="none" w:sz="0" w:space="0" w:color="auto"/>
        <w:right w:val="none" w:sz="0" w:space="0" w:color="auto"/>
      </w:divBdr>
      <w:divsChild>
        <w:div w:id="1797799318">
          <w:marLeft w:val="0"/>
          <w:marRight w:val="0"/>
          <w:marTop w:val="0"/>
          <w:marBottom w:val="0"/>
          <w:divBdr>
            <w:top w:val="none" w:sz="0" w:space="0" w:color="auto"/>
            <w:left w:val="none" w:sz="0" w:space="0" w:color="auto"/>
            <w:bottom w:val="none" w:sz="0" w:space="0" w:color="auto"/>
            <w:right w:val="none" w:sz="0" w:space="0" w:color="auto"/>
          </w:divBdr>
          <w:divsChild>
            <w:div w:id="1961495676">
              <w:marLeft w:val="0"/>
              <w:marRight w:val="0"/>
              <w:marTop w:val="0"/>
              <w:marBottom w:val="0"/>
              <w:divBdr>
                <w:top w:val="none" w:sz="0" w:space="0" w:color="auto"/>
                <w:left w:val="none" w:sz="0" w:space="0" w:color="auto"/>
                <w:bottom w:val="none" w:sz="0" w:space="0" w:color="auto"/>
                <w:right w:val="none" w:sz="0" w:space="0" w:color="auto"/>
              </w:divBdr>
              <w:divsChild>
                <w:div w:id="2101951832">
                  <w:marLeft w:val="0"/>
                  <w:marRight w:val="0"/>
                  <w:marTop w:val="0"/>
                  <w:marBottom w:val="0"/>
                  <w:divBdr>
                    <w:top w:val="none" w:sz="0" w:space="0" w:color="auto"/>
                    <w:left w:val="none" w:sz="0" w:space="0" w:color="auto"/>
                    <w:bottom w:val="none" w:sz="0" w:space="0" w:color="auto"/>
                    <w:right w:val="none" w:sz="0" w:space="0" w:color="auto"/>
                  </w:divBdr>
                  <w:divsChild>
                    <w:div w:id="502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21807">
      <w:bodyDiv w:val="1"/>
      <w:marLeft w:val="0"/>
      <w:marRight w:val="0"/>
      <w:marTop w:val="0"/>
      <w:marBottom w:val="0"/>
      <w:divBdr>
        <w:top w:val="none" w:sz="0" w:space="0" w:color="auto"/>
        <w:left w:val="none" w:sz="0" w:space="0" w:color="auto"/>
        <w:bottom w:val="none" w:sz="0" w:space="0" w:color="auto"/>
        <w:right w:val="none" w:sz="0" w:space="0" w:color="auto"/>
      </w:divBdr>
    </w:div>
    <w:div w:id="975141908">
      <w:bodyDiv w:val="1"/>
      <w:marLeft w:val="0"/>
      <w:marRight w:val="0"/>
      <w:marTop w:val="0"/>
      <w:marBottom w:val="0"/>
      <w:divBdr>
        <w:top w:val="none" w:sz="0" w:space="0" w:color="auto"/>
        <w:left w:val="none" w:sz="0" w:space="0" w:color="auto"/>
        <w:bottom w:val="none" w:sz="0" w:space="0" w:color="auto"/>
        <w:right w:val="none" w:sz="0" w:space="0" w:color="auto"/>
      </w:divBdr>
    </w:div>
    <w:div w:id="978342407">
      <w:bodyDiv w:val="1"/>
      <w:marLeft w:val="0"/>
      <w:marRight w:val="0"/>
      <w:marTop w:val="0"/>
      <w:marBottom w:val="0"/>
      <w:divBdr>
        <w:top w:val="none" w:sz="0" w:space="0" w:color="auto"/>
        <w:left w:val="none" w:sz="0" w:space="0" w:color="auto"/>
        <w:bottom w:val="none" w:sz="0" w:space="0" w:color="auto"/>
        <w:right w:val="none" w:sz="0" w:space="0" w:color="auto"/>
      </w:divBdr>
    </w:div>
    <w:div w:id="991447449">
      <w:bodyDiv w:val="1"/>
      <w:marLeft w:val="0"/>
      <w:marRight w:val="0"/>
      <w:marTop w:val="0"/>
      <w:marBottom w:val="0"/>
      <w:divBdr>
        <w:top w:val="none" w:sz="0" w:space="0" w:color="auto"/>
        <w:left w:val="none" w:sz="0" w:space="0" w:color="auto"/>
        <w:bottom w:val="none" w:sz="0" w:space="0" w:color="auto"/>
        <w:right w:val="none" w:sz="0" w:space="0" w:color="auto"/>
      </w:divBdr>
      <w:divsChild>
        <w:div w:id="921792094">
          <w:marLeft w:val="0"/>
          <w:marRight w:val="0"/>
          <w:marTop w:val="0"/>
          <w:marBottom w:val="0"/>
          <w:divBdr>
            <w:top w:val="none" w:sz="0" w:space="0" w:color="auto"/>
            <w:left w:val="none" w:sz="0" w:space="0" w:color="auto"/>
            <w:bottom w:val="none" w:sz="0" w:space="0" w:color="auto"/>
            <w:right w:val="none" w:sz="0" w:space="0" w:color="auto"/>
          </w:divBdr>
          <w:divsChild>
            <w:div w:id="680666673">
              <w:marLeft w:val="0"/>
              <w:marRight w:val="0"/>
              <w:marTop w:val="0"/>
              <w:marBottom w:val="0"/>
              <w:divBdr>
                <w:top w:val="none" w:sz="0" w:space="0" w:color="auto"/>
                <w:left w:val="none" w:sz="0" w:space="0" w:color="auto"/>
                <w:bottom w:val="none" w:sz="0" w:space="0" w:color="auto"/>
                <w:right w:val="none" w:sz="0" w:space="0" w:color="auto"/>
              </w:divBdr>
              <w:divsChild>
                <w:div w:id="172109128">
                  <w:marLeft w:val="0"/>
                  <w:marRight w:val="0"/>
                  <w:marTop w:val="0"/>
                  <w:marBottom w:val="0"/>
                  <w:divBdr>
                    <w:top w:val="none" w:sz="0" w:space="0" w:color="auto"/>
                    <w:left w:val="none" w:sz="0" w:space="0" w:color="auto"/>
                    <w:bottom w:val="none" w:sz="0" w:space="0" w:color="auto"/>
                    <w:right w:val="none" w:sz="0" w:space="0" w:color="auto"/>
                  </w:divBdr>
                  <w:divsChild>
                    <w:div w:id="1316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4539">
      <w:bodyDiv w:val="1"/>
      <w:marLeft w:val="0"/>
      <w:marRight w:val="0"/>
      <w:marTop w:val="0"/>
      <w:marBottom w:val="0"/>
      <w:divBdr>
        <w:top w:val="none" w:sz="0" w:space="0" w:color="auto"/>
        <w:left w:val="none" w:sz="0" w:space="0" w:color="auto"/>
        <w:bottom w:val="none" w:sz="0" w:space="0" w:color="auto"/>
        <w:right w:val="none" w:sz="0" w:space="0" w:color="auto"/>
      </w:divBdr>
      <w:divsChild>
        <w:div w:id="2128696891">
          <w:marLeft w:val="0"/>
          <w:marRight w:val="0"/>
          <w:marTop w:val="0"/>
          <w:marBottom w:val="0"/>
          <w:divBdr>
            <w:top w:val="single" w:sz="2" w:space="0" w:color="auto"/>
            <w:left w:val="single" w:sz="2" w:space="0" w:color="auto"/>
            <w:bottom w:val="single" w:sz="6" w:space="0" w:color="auto"/>
            <w:right w:val="single" w:sz="2" w:space="0" w:color="auto"/>
          </w:divBdr>
          <w:divsChild>
            <w:div w:id="1907374561">
              <w:marLeft w:val="0"/>
              <w:marRight w:val="0"/>
              <w:marTop w:val="100"/>
              <w:marBottom w:val="100"/>
              <w:divBdr>
                <w:top w:val="single" w:sz="2" w:space="0" w:color="D9D9E3"/>
                <w:left w:val="single" w:sz="2" w:space="0" w:color="D9D9E3"/>
                <w:bottom w:val="single" w:sz="2" w:space="0" w:color="D9D9E3"/>
                <w:right w:val="single" w:sz="2" w:space="0" w:color="D9D9E3"/>
              </w:divBdr>
              <w:divsChild>
                <w:div w:id="941184839">
                  <w:marLeft w:val="0"/>
                  <w:marRight w:val="0"/>
                  <w:marTop w:val="0"/>
                  <w:marBottom w:val="0"/>
                  <w:divBdr>
                    <w:top w:val="single" w:sz="2" w:space="0" w:color="D9D9E3"/>
                    <w:left w:val="single" w:sz="2" w:space="0" w:color="D9D9E3"/>
                    <w:bottom w:val="single" w:sz="2" w:space="0" w:color="D9D9E3"/>
                    <w:right w:val="single" w:sz="2" w:space="0" w:color="D9D9E3"/>
                  </w:divBdr>
                  <w:divsChild>
                    <w:div w:id="1465851053">
                      <w:marLeft w:val="0"/>
                      <w:marRight w:val="0"/>
                      <w:marTop w:val="0"/>
                      <w:marBottom w:val="0"/>
                      <w:divBdr>
                        <w:top w:val="single" w:sz="2" w:space="0" w:color="D9D9E3"/>
                        <w:left w:val="single" w:sz="2" w:space="0" w:color="D9D9E3"/>
                        <w:bottom w:val="single" w:sz="2" w:space="0" w:color="D9D9E3"/>
                        <w:right w:val="single" w:sz="2" w:space="0" w:color="D9D9E3"/>
                      </w:divBdr>
                      <w:divsChild>
                        <w:div w:id="2137287560">
                          <w:marLeft w:val="0"/>
                          <w:marRight w:val="0"/>
                          <w:marTop w:val="0"/>
                          <w:marBottom w:val="0"/>
                          <w:divBdr>
                            <w:top w:val="single" w:sz="2" w:space="0" w:color="D9D9E3"/>
                            <w:left w:val="single" w:sz="2" w:space="0" w:color="D9D9E3"/>
                            <w:bottom w:val="single" w:sz="2" w:space="0" w:color="D9D9E3"/>
                            <w:right w:val="single" w:sz="2" w:space="0" w:color="D9D9E3"/>
                          </w:divBdr>
                          <w:divsChild>
                            <w:div w:id="1082993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9032104">
      <w:bodyDiv w:val="1"/>
      <w:marLeft w:val="0"/>
      <w:marRight w:val="0"/>
      <w:marTop w:val="0"/>
      <w:marBottom w:val="0"/>
      <w:divBdr>
        <w:top w:val="none" w:sz="0" w:space="0" w:color="auto"/>
        <w:left w:val="none" w:sz="0" w:space="0" w:color="auto"/>
        <w:bottom w:val="none" w:sz="0" w:space="0" w:color="auto"/>
        <w:right w:val="none" w:sz="0" w:space="0" w:color="auto"/>
      </w:divBdr>
      <w:divsChild>
        <w:div w:id="1273711886">
          <w:marLeft w:val="0"/>
          <w:marRight w:val="0"/>
          <w:marTop w:val="0"/>
          <w:marBottom w:val="0"/>
          <w:divBdr>
            <w:top w:val="none" w:sz="0" w:space="0" w:color="auto"/>
            <w:left w:val="none" w:sz="0" w:space="0" w:color="auto"/>
            <w:bottom w:val="none" w:sz="0" w:space="0" w:color="auto"/>
            <w:right w:val="none" w:sz="0" w:space="0" w:color="auto"/>
          </w:divBdr>
          <w:divsChild>
            <w:div w:id="442386312">
              <w:marLeft w:val="0"/>
              <w:marRight w:val="0"/>
              <w:marTop w:val="0"/>
              <w:marBottom w:val="0"/>
              <w:divBdr>
                <w:top w:val="none" w:sz="0" w:space="0" w:color="auto"/>
                <w:left w:val="none" w:sz="0" w:space="0" w:color="auto"/>
                <w:bottom w:val="none" w:sz="0" w:space="0" w:color="auto"/>
                <w:right w:val="none" w:sz="0" w:space="0" w:color="auto"/>
              </w:divBdr>
              <w:divsChild>
                <w:div w:id="972636622">
                  <w:marLeft w:val="0"/>
                  <w:marRight w:val="0"/>
                  <w:marTop w:val="0"/>
                  <w:marBottom w:val="0"/>
                  <w:divBdr>
                    <w:top w:val="none" w:sz="0" w:space="0" w:color="auto"/>
                    <w:left w:val="none" w:sz="0" w:space="0" w:color="auto"/>
                    <w:bottom w:val="none" w:sz="0" w:space="0" w:color="auto"/>
                    <w:right w:val="none" w:sz="0" w:space="0" w:color="auto"/>
                  </w:divBdr>
                  <w:divsChild>
                    <w:div w:id="4741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10409">
      <w:bodyDiv w:val="1"/>
      <w:marLeft w:val="0"/>
      <w:marRight w:val="0"/>
      <w:marTop w:val="0"/>
      <w:marBottom w:val="0"/>
      <w:divBdr>
        <w:top w:val="none" w:sz="0" w:space="0" w:color="auto"/>
        <w:left w:val="none" w:sz="0" w:space="0" w:color="auto"/>
        <w:bottom w:val="none" w:sz="0" w:space="0" w:color="auto"/>
        <w:right w:val="none" w:sz="0" w:space="0" w:color="auto"/>
      </w:divBdr>
      <w:divsChild>
        <w:div w:id="334845389">
          <w:marLeft w:val="0"/>
          <w:marRight w:val="0"/>
          <w:marTop w:val="0"/>
          <w:marBottom w:val="0"/>
          <w:divBdr>
            <w:top w:val="none" w:sz="0" w:space="0" w:color="auto"/>
            <w:left w:val="none" w:sz="0" w:space="0" w:color="auto"/>
            <w:bottom w:val="none" w:sz="0" w:space="0" w:color="auto"/>
            <w:right w:val="none" w:sz="0" w:space="0" w:color="auto"/>
          </w:divBdr>
          <w:divsChild>
            <w:div w:id="664208925">
              <w:marLeft w:val="0"/>
              <w:marRight w:val="0"/>
              <w:marTop w:val="0"/>
              <w:marBottom w:val="0"/>
              <w:divBdr>
                <w:top w:val="none" w:sz="0" w:space="0" w:color="auto"/>
                <w:left w:val="none" w:sz="0" w:space="0" w:color="auto"/>
                <w:bottom w:val="none" w:sz="0" w:space="0" w:color="auto"/>
                <w:right w:val="none" w:sz="0" w:space="0" w:color="auto"/>
              </w:divBdr>
              <w:divsChild>
                <w:div w:id="1709334699">
                  <w:marLeft w:val="0"/>
                  <w:marRight w:val="0"/>
                  <w:marTop w:val="0"/>
                  <w:marBottom w:val="0"/>
                  <w:divBdr>
                    <w:top w:val="none" w:sz="0" w:space="0" w:color="auto"/>
                    <w:left w:val="none" w:sz="0" w:space="0" w:color="auto"/>
                    <w:bottom w:val="none" w:sz="0" w:space="0" w:color="auto"/>
                    <w:right w:val="none" w:sz="0" w:space="0" w:color="auto"/>
                  </w:divBdr>
                  <w:divsChild>
                    <w:div w:id="1107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5770">
      <w:bodyDiv w:val="1"/>
      <w:marLeft w:val="0"/>
      <w:marRight w:val="0"/>
      <w:marTop w:val="0"/>
      <w:marBottom w:val="0"/>
      <w:divBdr>
        <w:top w:val="none" w:sz="0" w:space="0" w:color="auto"/>
        <w:left w:val="none" w:sz="0" w:space="0" w:color="auto"/>
        <w:bottom w:val="none" w:sz="0" w:space="0" w:color="auto"/>
        <w:right w:val="none" w:sz="0" w:space="0" w:color="auto"/>
      </w:divBdr>
    </w:div>
    <w:div w:id="1188059239">
      <w:bodyDiv w:val="1"/>
      <w:marLeft w:val="0"/>
      <w:marRight w:val="0"/>
      <w:marTop w:val="0"/>
      <w:marBottom w:val="0"/>
      <w:divBdr>
        <w:top w:val="none" w:sz="0" w:space="0" w:color="auto"/>
        <w:left w:val="none" w:sz="0" w:space="0" w:color="auto"/>
        <w:bottom w:val="none" w:sz="0" w:space="0" w:color="auto"/>
        <w:right w:val="none" w:sz="0" w:space="0" w:color="auto"/>
      </w:divBdr>
    </w:div>
    <w:div w:id="1242983521">
      <w:bodyDiv w:val="1"/>
      <w:marLeft w:val="0"/>
      <w:marRight w:val="0"/>
      <w:marTop w:val="0"/>
      <w:marBottom w:val="0"/>
      <w:divBdr>
        <w:top w:val="none" w:sz="0" w:space="0" w:color="auto"/>
        <w:left w:val="none" w:sz="0" w:space="0" w:color="auto"/>
        <w:bottom w:val="none" w:sz="0" w:space="0" w:color="auto"/>
        <w:right w:val="none" w:sz="0" w:space="0" w:color="auto"/>
      </w:divBdr>
    </w:div>
    <w:div w:id="1286540913">
      <w:bodyDiv w:val="1"/>
      <w:marLeft w:val="0"/>
      <w:marRight w:val="0"/>
      <w:marTop w:val="0"/>
      <w:marBottom w:val="0"/>
      <w:divBdr>
        <w:top w:val="none" w:sz="0" w:space="0" w:color="auto"/>
        <w:left w:val="none" w:sz="0" w:space="0" w:color="auto"/>
        <w:bottom w:val="none" w:sz="0" w:space="0" w:color="auto"/>
        <w:right w:val="none" w:sz="0" w:space="0" w:color="auto"/>
      </w:divBdr>
      <w:divsChild>
        <w:div w:id="776414743">
          <w:marLeft w:val="0"/>
          <w:marRight w:val="0"/>
          <w:marTop w:val="0"/>
          <w:marBottom w:val="0"/>
          <w:divBdr>
            <w:top w:val="single" w:sz="2" w:space="0" w:color="auto"/>
            <w:left w:val="single" w:sz="2" w:space="0" w:color="auto"/>
            <w:bottom w:val="single" w:sz="6" w:space="0" w:color="auto"/>
            <w:right w:val="single" w:sz="2" w:space="0" w:color="auto"/>
          </w:divBdr>
          <w:divsChild>
            <w:div w:id="142167656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4291528">
                  <w:marLeft w:val="0"/>
                  <w:marRight w:val="0"/>
                  <w:marTop w:val="0"/>
                  <w:marBottom w:val="0"/>
                  <w:divBdr>
                    <w:top w:val="single" w:sz="2" w:space="0" w:color="D9D9E3"/>
                    <w:left w:val="single" w:sz="2" w:space="0" w:color="D9D9E3"/>
                    <w:bottom w:val="single" w:sz="2" w:space="0" w:color="D9D9E3"/>
                    <w:right w:val="single" w:sz="2" w:space="0" w:color="D9D9E3"/>
                  </w:divBdr>
                  <w:divsChild>
                    <w:div w:id="275255820">
                      <w:marLeft w:val="0"/>
                      <w:marRight w:val="0"/>
                      <w:marTop w:val="0"/>
                      <w:marBottom w:val="0"/>
                      <w:divBdr>
                        <w:top w:val="single" w:sz="2" w:space="0" w:color="D9D9E3"/>
                        <w:left w:val="single" w:sz="2" w:space="0" w:color="D9D9E3"/>
                        <w:bottom w:val="single" w:sz="2" w:space="0" w:color="D9D9E3"/>
                        <w:right w:val="single" w:sz="2" w:space="0" w:color="D9D9E3"/>
                      </w:divBdr>
                      <w:divsChild>
                        <w:div w:id="219026487">
                          <w:marLeft w:val="0"/>
                          <w:marRight w:val="0"/>
                          <w:marTop w:val="0"/>
                          <w:marBottom w:val="0"/>
                          <w:divBdr>
                            <w:top w:val="single" w:sz="2" w:space="0" w:color="D9D9E3"/>
                            <w:left w:val="single" w:sz="2" w:space="0" w:color="D9D9E3"/>
                            <w:bottom w:val="single" w:sz="2" w:space="0" w:color="D9D9E3"/>
                            <w:right w:val="single" w:sz="2" w:space="0" w:color="D9D9E3"/>
                          </w:divBdr>
                          <w:divsChild>
                            <w:div w:id="268054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1419753">
      <w:bodyDiv w:val="1"/>
      <w:marLeft w:val="0"/>
      <w:marRight w:val="0"/>
      <w:marTop w:val="0"/>
      <w:marBottom w:val="0"/>
      <w:divBdr>
        <w:top w:val="none" w:sz="0" w:space="0" w:color="auto"/>
        <w:left w:val="none" w:sz="0" w:space="0" w:color="auto"/>
        <w:bottom w:val="none" w:sz="0" w:space="0" w:color="auto"/>
        <w:right w:val="none" w:sz="0" w:space="0" w:color="auto"/>
      </w:divBdr>
    </w:div>
    <w:div w:id="1342733297">
      <w:bodyDiv w:val="1"/>
      <w:marLeft w:val="0"/>
      <w:marRight w:val="0"/>
      <w:marTop w:val="0"/>
      <w:marBottom w:val="0"/>
      <w:divBdr>
        <w:top w:val="none" w:sz="0" w:space="0" w:color="auto"/>
        <w:left w:val="none" w:sz="0" w:space="0" w:color="auto"/>
        <w:bottom w:val="none" w:sz="0" w:space="0" w:color="auto"/>
        <w:right w:val="none" w:sz="0" w:space="0" w:color="auto"/>
      </w:divBdr>
    </w:div>
    <w:div w:id="1371757673">
      <w:bodyDiv w:val="1"/>
      <w:marLeft w:val="0"/>
      <w:marRight w:val="0"/>
      <w:marTop w:val="0"/>
      <w:marBottom w:val="0"/>
      <w:divBdr>
        <w:top w:val="none" w:sz="0" w:space="0" w:color="auto"/>
        <w:left w:val="none" w:sz="0" w:space="0" w:color="auto"/>
        <w:bottom w:val="none" w:sz="0" w:space="0" w:color="auto"/>
        <w:right w:val="none" w:sz="0" w:space="0" w:color="auto"/>
      </w:divBdr>
    </w:div>
    <w:div w:id="1418213353">
      <w:bodyDiv w:val="1"/>
      <w:marLeft w:val="0"/>
      <w:marRight w:val="0"/>
      <w:marTop w:val="0"/>
      <w:marBottom w:val="0"/>
      <w:divBdr>
        <w:top w:val="none" w:sz="0" w:space="0" w:color="auto"/>
        <w:left w:val="none" w:sz="0" w:space="0" w:color="auto"/>
        <w:bottom w:val="none" w:sz="0" w:space="0" w:color="auto"/>
        <w:right w:val="none" w:sz="0" w:space="0" w:color="auto"/>
      </w:divBdr>
    </w:div>
    <w:div w:id="1468039087">
      <w:bodyDiv w:val="1"/>
      <w:marLeft w:val="0"/>
      <w:marRight w:val="0"/>
      <w:marTop w:val="0"/>
      <w:marBottom w:val="0"/>
      <w:divBdr>
        <w:top w:val="none" w:sz="0" w:space="0" w:color="auto"/>
        <w:left w:val="none" w:sz="0" w:space="0" w:color="auto"/>
        <w:bottom w:val="none" w:sz="0" w:space="0" w:color="auto"/>
        <w:right w:val="none" w:sz="0" w:space="0" w:color="auto"/>
      </w:divBdr>
    </w:div>
    <w:div w:id="1472672297">
      <w:bodyDiv w:val="1"/>
      <w:marLeft w:val="0"/>
      <w:marRight w:val="0"/>
      <w:marTop w:val="0"/>
      <w:marBottom w:val="0"/>
      <w:divBdr>
        <w:top w:val="none" w:sz="0" w:space="0" w:color="auto"/>
        <w:left w:val="none" w:sz="0" w:space="0" w:color="auto"/>
        <w:bottom w:val="none" w:sz="0" w:space="0" w:color="auto"/>
        <w:right w:val="none" w:sz="0" w:space="0" w:color="auto"/>
      </w:divBdr>
    </w:div>
    <w:div w:id="1474911447">
      <w:bodyDiv w:val="1"/>
      <w:marLeft w:val="0"/>
      <w:marRight w:val="0"/>
      <w:marTop w:val="0"/>
      <w:marBottom w:val="0"/>
      <w:divBdr>
        <w:top w:val="none" w:sz="0" w:space="0" w:color="auto"/>
        <w:left w:val="none" w:sz="0" w:space="0" w:color="auto"/>
        <w:bottom w:val="none" w:sz="0" w:space="0" w:color="auto"/>
        <w:right w:val="none" w:sz="0" w:space="0" w:color="auto"/>
      </w:divBdr>
      <w:divsChild>
        <w:div w:id="1728606715">
          <w:marLeft w:val="0"/>
          <w:marRight w:val="0"/>
          <w:marTop w:val="0"/>
          <w:marBottom w:val="0"/>
          <w:divBdr>
            <w:top w:val="none" w:sz="0" w:space="0" w:color="auto"/>
            <w:left w:val="none" w:sz="0" w:space="0" w:color="auto"/>
            <w:bottom w:val="none" w:sz="0" w:space="0" w:color="auto"/>
            <w:right w:val="none" w:sz="0" w:space="0" w:color="auto"/>
          </w:divBdr>
          <w:divsChild>
            <w:div w:id="261036663">
              <w:marLeft w:val="0"/>
              <w:marRight w:val="0"/>
              <w:marTop w:val="0"/>
              <w:marBottom w:val="0"/>
              <w:divBdr>
                <w:top w:val="none" w:sz="0" w:space="0" w:color="auto"/>
                <w:left w:val="none" w:sz="0" w:space="0" w:color="auto"/>
                <w:bottom w:val="none" w:sz="0" w:space="0" w:color="auto"/>
                <w:right w:val="none" w:sz="0" w:space="0" w:color="auto"/>
              </w:divBdr>
              <w:divsChild>
                <w:div w:id="1433623966">
                  <w:marLeft w:val="0"/>
                  <w:marRight w:val="0"/>
                  <w:marTop w:val="0"/>
                  <w:marBottom w:val="0"/>
                  <w:divBdr>
                    <w:top w:val="none" w:sz="0" w:space="0" w:color="auto"/>
                    <w:left w:val="none" w:sz="0" w:space="0" w:color="auto"/>
                    <w:bottom w:val="none" w:sz="0" w:space="0" w:color="auto"/>
                    <w:right w:val="none" w:sz="0" w:space="0" w:color="auto"/>
                  </w:divBdr>
                  <w:divsChild>
                    <w:div w:id="8874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0648">
      <w:bodyDiv w:val="1"/>
      <w:marLeft w:val="0"/>
      <w:marRight w:val="0"/>
      <w:marTop w:val="0"/>
      <w:marBottom w:val="0"/>
      <w:divBdr>
        <w:top w:val="none" w:sz="0" w:space="0" w:color="auto"/>
        <w:left w:val="none" w:sz="0" w:space="0" w:color="auto"/>
        <w:bottom w:val="none" w:sz="0" w:space="0" w:color="auto"/>
        <w:right w:val="none" w:sz="0" w:space="0" w:color="auto"/>
      </w:divBdr>
    </w:div>
    <w:div w:id="1583102562">
      <w:bodyDiv w:val="1"/>
      <w:marLeft w:val="0"/>
      <w:marRight w:val="0"/>
      <w:marTop w:val="0"/>
      <w:marBottom w:val="0"/>
      <w:divBdr>
        <w:top w:val="none" w:sz="0" w:space="0" w:color="auto"/>
        <w:left w:val="none" w:sz="0" w:space="0" w:color="auto"/>
        <w:bottom w:val="none" w:sz="0" w:space="0" w:color="auto"/>
        <w:right w:val="none" w:sz="0" w:space="0" w:color="auto"/>
      </w:divBdr>
    </w:div>
    <w:div w:id="1643995112">
      <w:bodyDiv w:val="1"/>
      <w:marLeft w:val="0"/>
      <w:marRight w:val="0"/>
      <w:marTop w:val="0"/>
      <w:marBottom w:val="0"/>
      <w:divBdr>
        <w:top w:val="none" w:sz="0" w:space="0" w:color="auto"/>
        <w:left w:val="none" w:sz="0" w:space="0" w:color="auto"/>
        <w:bottom w:val="none" w:sz="0" w:space="0" w:color="auto"/>
        <w:right w:val="none" w:sz="0" w:space="0" w:color="auto"/>
      </w:divBdr>
    </w:div>
    <w:div w:id="1675255534">
      <w:bodyDiv w:val="1"/>
      <w:marLeft w:val="0"/>
      <w:marRight w:val="0"/>
      <w:marTop w:val="0"/>
      <w:marBottom w:val="0"/>
      <w:divBdr>
        <w:top w:val="none" w:sz="0" w:space="0" w:color="auto"/>
        <w:left w:val="none" w:sz="0" w:space="0" w:color="auto"/>
        <w:bottom w:val="none" w:sz="0" w:space="0" w:color="auto"/>
        <w:right w:val="none" w:sz="0" w:space="0" w:color="auto"/>
      </w:divBdr>
      <w:divsChild>
        <w:div w:id="570388180">
          <w:marLeft w:val="0"/>
          <w:marRight w:val="0"/>
          <w:marTop w:val="0"/>
          <w:marBottom w:val="0"/>
          <w:divBdr>
            <w:top w:val="none" w:sz="0" w:space="0" w:color="auto"/>
            <w:left w:val="none" w:sz="0" w:space="0" w:color="auto"/>
            <w:bottom w:val="none" w:sz="0" w:space="0" w:color="auto"/>
            <w:right w:val="none" w:sz="0" w:space="0" w:color="auto"/>
          </w:divBdr>
        </w:div>
      </w:divsChild>
    </w:div>
    <w:div w:id="1801266797">
      <w:bodyDiv w:val="1"/>
      <w:marLeft w:val="0"/>
      <w:marRight w:val="0"/>
      <w:marTop w:val="0"/>
      <w:marBottom w:val="0"/>
      <w:divBdr>
        <w:top w:val="none" w:sz="0" w:space="0" w:color="auto"/>
        <w:left w:val="none" w:sz="0" w:space="0" w:color="auto"/>
        <w:bottom w:val="none" w:sz="0" w:space="0" w:color="auto"/>
        <w:right w:val="none" w:sz="0" w:space="0" w:color="auto"/>
      </w:divBdr>
    </w:div>
    <w:div w:id="1821193864">
      <w:bodyDiv w:val="1"/>
      <w:marLeft w:val="0"/>
      <w:marRight w:val="0"/>
      <w:marTop w:val="0"/>
      <w:marBottom w:val="0"/>
      <w:divBdr>
        <w:top w:val="none" w:sz="0" w:space="0" w:color="auto"/>
        <w:left w:val="none" w:sz="0" w:space="0" w:color="auto"/>
        <w:bottom w:val="none" w:sz="0" w:space="0" w:color="auto"/>
        <w:right w:val="none" w:sz="0" w:space="0" w:color="auto"/>
      </w:divBdr>
    </w:div>
    <w:div w:id="1974435712">
      <w:bodyDiv w:val="1"/>
      <w:marLeft w:val="0"/>
      <w:marRight w:val="0"/>
      <w:marTop w:val="0"/>
      <w:marBottom w:val="0"/>
      <w:divBdr>
        <w:top w:val="none" w:sz="0" w:space="0" w:color="auto"/>
        <w:left w:val="none" w:sz="0" w:space="0" w:color="auto"/>
        <w:bottom w:val="none" w:sz="0" w:space="0" w:color="auto"/>
        <w:right w:val="none" w:sz="0" w:space="0" w:color="auto"/>
      </w:divBdr>
      <w:divsChild>
        <w:div w:id="51080196">
          <w:marLeft w:val="0"/>
          <w:marRight w:val="0"/>
          <w:marTop w:val="0"/>
          <w:marBottom w:val="0"/>
          <w:divBdr>
            <w:top w:val="none" w:sz="0" w:space="0" w:color="auto"/>
            <w:left w:val="none" w:sz="0" w:space="0" w:color="auto"/>
            <w:bottom w:val="none" w:sz="0" w:space="0" w:color="auto"/>
            <w:right w:val="none" w:sz="0" w:space="0" w:color="auto"/>
          </w:divBdr>
          <w:divsChild>
            <w:div w:id="1591310044">
              <w:marLeft w:val="0"/>
              <w:marRight w:val="0"/>
              <w:marTop w:val="0"/>
              <w:marBottom w:val="0"/>
              <w:divBdr>
                <w:top w:val="none" w:sz="0" w:space="0" w:color="auto"/>
                <w:left w:val="none" w:sz="0" w:space="0" w:color="auto"/>
                <w:bottom w:val="none" w:sz="0" w:space="0" w:color="auto"/>
                <w:right w:val="none" w:sz="0" w:space="0" w:color="auto"/>
              </w:divBdr>
              <w:divsChild>
                <w:div w:id="1566837376">
                  <w:marLeft w:val="0"/>
                  <w:marRight w:val="0"/>
                  <w:marTop w:val="0"/>
                  <w:marBottom w:val="0"/>
                  <w:divBdr>
                    <w:top w:val="none" w:sz="0" w:space="0" w:color="auto"/>
                    <w:left w:val="none" w:sz="0" w:space="0" w:color="auto"/>
                    <w:bottom w:val="none" w:sz="0" w:space="0" w:color="auto"/>
                    <w:right w:val="none" w:sz="0" w:space="0" w:color="auto"/>
                  </w:divBdr>
                  <w:divsChild>
                    <w:div w:id="11953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485">
      <w:bodyDiv w:val="1"/>
      <w:marLeft w:val="0"/>
      <w:marRight w:val="0"/>
      <w:marTop w:val="0"/>
      <w:marBottom w:val="0"/>
      <w:divBdr>
        <w:top w:val="none" w:sz="0" w:space="0" w:color="auto"/>
        <w:left w:val="none" w:sz="0" w:space="0" w:color="auto"/>
        <w:bottom w:val="none" w:sz="0" w:space="0" w:color="auto"/>
        <w:right w:val="none" w:sz="0" w:space="0" w:color="auto"/>
      </w:divBdr>
    </w:div>
    <w:div w:id="1995185827">
      <w:bodyDiv w:val="1"/>
      <w:marLeft w:val="0"/>
      <w:marRight w:val="0"/>
      <w:marTop w:val="0"/>
      <w:marBottom w:val="0"/>
      <w:divBdr>
        <w:top w:val="none" w:sz="0" w:space="0" w:color="auto"/>
        <w:left w:val="none" w:sz="0" w:space="0" w:color="auto"/>
        <w:bottom w:val="none" w:sz="0" w:space="0" w:color="auto"/>
        <w:right w:val="none" w:sz="0" w:space="0" w:color="auto"/>
      </w:divBdr>
    </w:div>
    <w:div w:id="2068920215">
      <w:bodyDiv w:val="1"/>
      <w:marLeft w:val="0"/>
      <w:marRight w:val="0"/>
      <w:marTop w:val="0"/>
      <w:marBottom w:val="0"/>
      <w:divBdr>
        <w:top w:val="none" w:sz="0" w:space="0" w:color="auto"/>
        <w:left w:val="none" w:sz="0" w:space="0" w:color="auto"/>
        <w:bottom w:val="none" w:sz="0" w:space="0" w:color="auto"/>
        <w:right w:val="none" w:sz="0" w:space="0" w:color="auto"/>
      </w:divBdr>
    </w:div>
    <w:div w:id="21160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3C3C-A79A-9A4C-AAF1-E19A51A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5193</Words>
  <Characters>29605</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M.Ö.K</cp:lastModifiedBy>
  <cp:revision>2</cp:revision>
  <dcterms:created xsi:type="dcterms:W3CDTF">2024-01-09T08:51:00Z</dcterms:created>
  <dcterms:modified xsi:type="dcterms:W3CDTF">2024-01-09T08:51:00Z</dcterms:modified>
</cp:coreProperties>
</file>